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2D35" w14:textId="77777777" w:rsidR="00FF6EE4" w:rsidRDefault="00FF6EE4" w:rsidP="00FF6EE4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F31473" wp14:editId="1B4AA3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1313815"/>
            <wp:effectExtent l="0" t="0" r="9525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723B8" w14:textId="2D61E50F" w:rsidR="00FF6EE4" w:rsidRPr="00F675A9" w:rsidRDefault="001D644F" w:rsidP="00FF6EE4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AC394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 w:rsidR="00FF6EE4" w:rsidRPr="00F675A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Draft Advertising Policy</w:t>
      </w:r>
    </w:p>
    <w:p w14:paraId="5B9E4966" w14:textId="21921F0A" w:rsidR="00FF6EE4" w:rsidRDefault="00FF6EE4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3E816031" w14:textId="0F32D00D" w:rsidR="4C17A219" w:rsidRPr="00F675A9" w:rsidRDefault="4C17A219">
      <w:pPr>
        <w:rPr>
          <w:rFonts w:ascii="Arial" w:hAnsi="Arial" w:cs="Arial"/>
          <w:sz w:val="24"/>
          <w:szCs w:val="24"/>
        </w:rPr>
      </w:pPr>
    </w:p>
    <w:p w14:paraId="4C000A63" w14:textId="77777777" w:rsidR="00FF6EE4" w:rsidRDefault="00FF6EE4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61CDBF6" w14:textId="218D9314" w:rsidR="4C17A219" w:rsidRPr="00F675A9" w:rsidRDefault="4C17A219">
      <w:pPr>
        <w:rPr>
          <w:rFonts w:ascii="Arial" w:hAnsi="Arial" w:cs="Arial"/>
          <w:sz w:val="24"/>
          <w:szCs w:val="24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Weymouth Town Council 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 xml:space="preserve">(WTC) 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will not permit any advertising on WTC assets, from the following categories:</w:t>
      </w:r>
    </w:p>
    <w:p w14:paraId="33C260B9" w14:textId="50BCFD66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Political or Religious advertisin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>g</w:t>
      </w:r>
    </w:p>
    <w:p w14:paraId="1E27D3E0" w14:textId="6446495A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Pawn Brokers, Payday-loans, credit-cards, unsecured credit, or similar industries. </w:t>
      </w:r>
    </w:p>
    <w:p w14:paraId="62F25CCD" w14:textId="095A1333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Casinos, gambling, book makers, etc. </w:t>
      </w:r>
    </w:p>
    <w:p w14:paraId="43D31373" w14:textId="5FDB32FC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Any kind of “Adult” services or content.  </w:t>
      </w:r>
    </w:p>
    <w:p w14:paraId="36103347" w14:textId="37FFA1F4" w:rsidR="002B317F" w:rsidRPr="00C27EBF" w:rsidRDefault="4C17A219" w:rsidP="003228DB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Any product or service that is illegal under UK law, or illegal to advertise under UK law (</w:t>
      </w:r>
      <w:proofErr w:type="spellStart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eg.</w:t>
      </w:r>
      <w:proofErr w:type="spellEnd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Tobacco, Weapons) </w:t>
      </w:r>
    </w:p>
    <w:p w14:paraId="64F4E382" w14:textId="1FC6B0DA" w:rsidR="00C27EBF" w:rsidRPr="003228DB" w:rsidRDefault="00C27EBF" w:rsidP="003228DB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Fossil Fuels</w:t>
      </w:r>
    </w:p>
    <w:p w14:paraId="1BC96615" w14:textId="2D07CFC0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No advertising or sponsorship that could reasonably be predicted, either by design or coincidence, cause distress, </w:t>
      </w:r>
      <w:proofErr w:type="gramStart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alarm</w:t>
      </w:r>
      <w:proofErr w:type="gramEnd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or offence.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 The </w:t>
      </w:r>
      <w:r w:rsidR="532F4EBF" w:rsidRPr="00F675A9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eader of the </w:t>
      </w:r>
      <w:r w:rsidR="57974E97" w:rsidRPr="00F675A9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ouncil, in consultation with the </w:t>
      </w:r>
      <w:r w:rsidR="6B918D9E" w:rsidRPr="00F675A9">
        <w:rPr>
          <w:rFonts w:ascii="Arial" w:eastAsia="Calibri" w:hAnsi="Arial" w:cs="Arial"/>
          <w:color w:val="000000" w:themeColor="text1"/>
          <w:sz w:val="24"/>
          <w:szCs w:val="24"/>
        </w:rPr>
        <w:t>Town Clerk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should make the final </w:t>
      </w:r>
      <w:r w:rsidR="3F50FCE8" w:rsidRPr="00F675A9">
        <w:rPr>
          <w:rFonts w:ascii="Arial" w:eastAsia="Calibri" w:hAnsi="Arial" w:cs="Arial"/>
          <w:color w:val="000000" w:themeColor="text1"/>
          <w:sz w:val="24"/>
          <w:szCs w:val="24"/>
        </w:rPr>
        <w:t>decision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in the eve</w:t>
      </w:r>
      <w:r w:rsidR="142E1D2D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nt of </w:t>
      </w:r>
      <w:r w:rsidR="56E1BE4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="2073C9A4" w:rsidRPr="00F675A9">
        <w:rPr>
          <w:rFonts w:ascii="Arial" w:eastAsia="Calibri" w:hAnsi="Arial" w:cs="Arial"/>
          <w:color w:val="000000" w:themeColor="text1"/>
          <w:sz w:val="24"/>
          <w:szCs w:val="24"/>
        </w:rPr>
        <w:t>potentially controversial advert.</w:t>
      </w:r>
    </w:p>
    <w:p w14:paraId="734CCCD8" w14:textId="3EEF781A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From any organisation that promotes any form of discrimination. </w:t>
      </w:r>
    </w:p>
    <w:p w14:paraId="1A1E7EE5" w14:textId="1086E05C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From any organisation that is in financial, or legal dispute with W</w:t>
      </w:r>
      <w:r w:rsidR="7378B826" w:rsidRPr="00F675A9">
        <w:rPr>
          <w:rFonts w:ascii="Arial" w:eastAsia="Calibri" w:hAnsi="Arial" w:cs="Arial"/>
          <w:color w:val="000000" w:themeColor="text1"/>
          <w:sz w:val="24"/>
          <w:szCs w:val="24"/>
        </w:rPr>
        <w:t>eymouth Town Council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43CF436" w14:textId="6EF5567B" w:rsidR="4C17A219" w:rsidRPr="00F675A9" w:rsidRDefault="4C17A219">
      <w:pPr>
        <w:rPr>
          <w:rFonts w:ascii="Arial" w:hAnsi="Arial" w:cs="Arial"/>
          <w:sz w:val="24"/>
          <w:szCs w:val="24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 xml:space="preserve">TC 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will only accept advertisements that comply with the following conditions:</w:t>
      </w:r>
    </w:p>
    <w:p w14:paraId="767C51B1" w14:textId="55039E80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No advert will be accepted that is subject to a complaint to the Advertising Standards Authority and upheld by such authority as a legitimate complaint. </w:t>
      </w:r>
    </w:p>
    <w:p w14:paraId="1DF1BCE4" w14:textId="159DF5A2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Advertising of alcoholic beverages and establishments selling such beverages, should comply with the Portman Group’s code of conduct on responsible promotion of alcoholic beverages. </w:t>
      </w:r>
    </w:p>
    <w:p w14:paraId="767DAB88" w14:textId="6BB66577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Any advertising for Film or TV should have the appropriate BBFC certificate for the time of day. </w:t>
      </w:r>
    </w:p>
    <w:p w14:paraId="4E9278D0" w14:textId="55CD49C1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No advertising or sponsorship may use the Council's name or logos, to infer Council endorsement or support for any service or product.</w:t>
      </w:r>
    </w:p>
    <w:p w14:paraId="00DE888E" w14:textId="6222AD7F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No advertising will be accepted that may cause reputational damage to either Weymouth Town Council, or the town of Weymouth.</w:t>
      </w:r>
    </w:p>
    <w:p w14:paraId="40C28B6C" w14:textId="23F2607E" w:rsidR="35B13065" w:rsidRPr="00A41F94" w:rsidRDefault="4C17A219" w:rsidP="35B13065">
      <w:pPr>
        <w:rPr>
          <w:rFonts w:ascii="Arial" w:hAnsi="Arial" w:cs="Arial"/>
          <w:sz w:val="24"/>
          <w:szCs w:val="24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The above list is not exhaustive, and 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>WTC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retains the right to refuse advertising on the grounds that, in the council’s opinion, it is inappropriate. WTC may remove adverts at any time without prior notice to the advertiser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sectPr w:rsidR="35B13065" w:rsidRPr="00A4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9CB7"/>
    <w:multiLevelType w:val="hybridMultilevel"/>
    <w:tmpl w:val="98D003AE"/>
    <w:lvl w:ilvl="0" w:tplc="92846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26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67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E4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8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E0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A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B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04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1A321"/>
    <w:multiLevelType w:val="hybridMultilevel"/>
    <w:tmpl w:val="775A173E"/>
    <w:lvl w:ilvl="0" w:tplc="F380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47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82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04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F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87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E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2D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0358">
    <w:abstractNumId w:val="0"/>
  </w:num>
  <w:num w:numId="2" w16cid:durableId="86883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F6D1E"/>
    <w:rsid w:val="001D644F"/>
    <w:rsid w:val="002B317F"/>
    <w:rsid w:val="003228DB"/>
    <w:rsid w:val="003C5854"/>
    <w:rsid w:val="00530E16"/>
    <w:rsid w:val="005347C1"/>
    <w:rsid w:val="0091059B"/>
    <w:rsid w:val="00A41F94"/>
    <w:rsid w:val="00AC3940"/>
    <w:rsid w:val="00C27EBF"/>
    <w:rsid w:val="00ED26BC"/>
    <w:rsid w:val="00F675A9"/>
    <w:rsid w:val="00FF6EE4"/>
    <w:rsid w:val="05B4DB62"/>
    <w:rsid w:val="0626CFD3"/>
    <w:rsid w:val="142E1D2D"/>
    <w:rsid w:val="153036F8"/>
    <w:rsid w:val="2073C9A4"/>
    <w:rsid w:val="21E84C69"/>
    <w:rsid w:val="23841CCA"/>
    <w:rsid w:val="2B7B5E52"/>
    <w:rsid w:val="2CA16BDE"/>
    <w:rsid w:val="35B13065"/>
    <w:rsid w:val="36DF6D1E"/>
    <w:rsid w:val="3F50FCE8"/>
    <w:rsid w:val="401F0AED"/>
    <w:rsid w:val="4B780606"/>
    <w:rsid w:val="4C17A219"/>
    <w:rsid w:val="532F4EBF"/>
    <w:rsid w:val="55E33A70"/>
    <w:rsid w:val="56E1BE4E"/>
    <w:rsid w:val="5738F415"/>
    <w:rsid w:val="57974E97"/>
    <w:rsid w:val="5AA52E67"/>
    <w:rsid w:val="5FB4DAD0"/>
    <w:rsid w:val="605E55F8"/>
    <w:rsid w:val="69A3B2FA"/>
    <w:rsid w:val="6A96DE75"/>
    <w:rsid w:val="6B918D9E"/>
    <w:rsid w:val="6D732D2E"/>
    <w:rsid w:val="725F294F"/>
    <w:rsid w:val="7378B826"/>
    <w:rsid w:val="7560199C"/>
    <w:rsid w:val="75A0185D"/>
    <w:rsid w:val="779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BFD6"/>
  <w15:chartTrackingRefBased/>
  <w15:docId w15:val="{FE003D4A-7A44-4DC8-83BB-92B447D4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5B13065"/>
    <w:rPr>
      <w:lang w:val="en-GB"/>
    </w:rPr>
  </w:style>
  <w:style w:type="paragraph" w:styleId="Heading1">
    <w:name w:val="heading 1"/>
    <w:basedOn w:val="Normal"/>
    <w:next w:val="Normal"/>
    <w:uiPriority w:val="9"/>
    <w:qFormat/>
    <w:rsid w:val="35B1306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35B1306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35B1306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35B1306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35B1306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35B1306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35B1306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35B1306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35B1306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35B13065"/>
    <w:pPr>
      <w:ind w:left="720"/>
      <w:contextualSpacing/>
    </w:pPr>
  </w:style>
  <w:style w:type="paragraph" w:styleId="Title">
    <w:name w:val="Title"/>
    <w:basedOn w:val="Normal"/>
    <w:next w:val="Normal"/>
    <w:uiPriority w:val="10"/>
    <w:qFormat/>
    <w:rsid w:val="35B13065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35B13065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35B130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35B1306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TOC1">
    <w:name w:val="toc 1"/>
    <w:basedOn w:val="Normal"/>
    <w:next w:val="Normal"/>
    <w:uiPriority w:val="39"/>
    <w:unhideWhenUsed/>
    <w:rsid w:val="35B1306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5B1306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5B1306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5B1306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5B1306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5B1306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5B1306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5B1306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5B13065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35B13065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35B13065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rsid w:val="35B13065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35B13065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3be423-bdcd-4ac3-84f4-b73a6d0b5768">
      <Terms xmlns="http://schemas.microsoft.com/office/infopath/2007/PartnerControls"/>
    </lcf76f155ced4ddcb4097134ff3c332f>
    <DocumentType xmlns="7e3be423-bdcd-4ac3-84f4-b73a6d0b5768" xsi:nil="true"/>
    <TaxCatchAll xmlns="eb5cfb3c-f687-4dcc-bfe0-2108c4e52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27690-D188-4AAD-8ADC-2C1D0267A88E}">
  <ds:schemaRefs>
    <ds:schemaRef ds:uri="http://schemas.microsoft.com/office/2006/metadata/properties"/>
    <ds:schemaRef ds:uri="http://schemas.microsoft.com/office/infopath/2007/PartnerControls"/>
    <ds:schemaRef ds:uri="7e3be423-bdcd-4ac3-84f4-b73a6d0b5768"/>
    <ds:schemaRef ds:uri="eb5cfb3c-f687-4dcc-bfe0-2108c4e52b8b"/>
  </ds:schemaRefs>
</ds:datastoreItem>
</file>

<file path=customXml/itemProps2.xml><?xml version="1.0" encoding="utf-8"?>
<ds:datastoreItem xmlns:ds="http://schemas.openxmlformats.org/officeDocument/2006/customXml" ds:itemID="{5DD471CC-AA10-472C-9981-CC03682DE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11FA5-E80E-4A2C-BF18-CB474D89F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Wakeling</dc:creator>
  <cp:keywords/>
  <dc:description/>
  <cp:lastModifiedBy>Jane Biscombe</cp:lastModifiedBy>
  <cp:revision>2</cp:revision>
  <dcterms:created xsi:type="dcterms:W3CDTF">2023-01-04T12:23:00Z</dcterms:created>
  <dcterms:modified xsi:type="dcterms:W3CDTF">2023-01-04T12:23:00Z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