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EAE71" w14:textId="03E8E695" w:rsidR="002C2D5C" w:rsidRDefault="00D73843" w:rsidP="002C2D5C">
      <w:pPr>
        <w:pStyle w:val="BodyText"/>
        <w:jc w:val="both"/>
      </w:pPr>
      <w:bookmarkStart w:id="0" w:name="_Hlk34219994"/>
      <w:r>
        <w:rPr>
          <w:noProof/>
        </w:rPr>
        <w:drawing>
          <wp:anchor distT="0" distB="0" distL="114300" distR="114300" simplePos="0" relativeHeight="251658239" behindDoc="1" locked="0" layoutInCell="1" allowOverlap="1" wp14:anchorId="0EF93B51" wp14:editId="5AA48C58">
            <wp:simplePos x="0" y="0"/>
            <wp:positionH relativeFrom="column">
              <wp:posOffset>-901700</wp:posOffset>
            </wp:positionH>
            <wp:positionV relativeFrom="paragraph">
              <wp:posOffset>-1113790</wp:posOffset>
            </wp:positionV>
            <wp:extent cx="7560000" cy="5313600"/>
            <wp:effectExtent l="0" t="0" r="317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ubileeClock-1.jpg"/>
                    <pic:cNvPicPr/>
                  </pic:nvPicPr>
                  <pic:blipFill>
                    <a:blip r:embed="rId8">
                      <a:extLst>
                        <a:ext uri="{28A0092B-C50C-407E-A947-70E740481C1C}">
                          <a14:useLocalDpi xmlns:a14="http://schemas.microsoft.com/office/drawing/2010/main" val="0"/>
                        </a:ext>
                      </a:extLst>
                    </a:blip>
                    <a:stretch>
                      <a:fillRect/>
                    </a:stretch>
                  </pic:blipFill>
                  <pic:spPr>
                    <a:xfrm>
                      <a:off x="0" y="0"/>
                      <a:ext cx="7560000" cy="5313600"/>
                    </a:xfrm>
                    <a:prstGeom prst="rect">
                      <a:avLst/>
                    </a:prstGeom>
                  </pic:spPr>
                </pic:pic>
              </a:graphicData>
            </a:graphic>
            <wp14:sizeRelH relativeFrom="margin">
              <wp14:pctWidth>0</wp14:pctWidth>
            </wp14:sizeRelH>
            <wp14:sizeRelV relativeFrom="margin">
              <wp14:pctHeight>0</wp14:pctHeight>
            </wp14:sizeRelV>
          </wp:anchor>
        </w:drawing>
      </w:r>
      <w:r w:rsidR="002C2D5C" w:rsidRPr="00A87365">
        <w:rPr>
          <w:noProof/>
        </w:rPr>
        <mc:AlternateContent>
          <mc:Choice Requires="wps">
            <w:drawing>
              <wp:anchor distT="0" distB="0" distL="114300" distR="114300" simplePos="0" relativeHeight="251662336" behindDoc="1" locked="0" layoutInCell="0" allowOverlap="1" wp14:anchorId="0519C4D6" wp14:editId="48A10AE7">
                <wp:simplePos x="0" y="0"/>
                <wp:positionH relativeFrom="page">
                  <wp:align>left</wp:align>
                </wp:positionH>
                <wp:positionV relativeFrom="page">
                  <wp:align>bottom</wp:align>
                </wp:positionV>
                <wp:extent cx="7560310" cy="9088310"/>
                <wp:effectExtent l="0" t="0" r="2540" b="0"/>
                <wp:wrapNone/>
                <wp:docPr id="8" name="CoverLowerHalfBl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9088310"/>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162100 w 7560000"/>
                            <a:gd name="connsiteY3" fmla="*/ 6149617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83969 h 7175969"/>
                            <a:gd name="connsiteX1" fmla="*/ 7560000 w 7560000"/>
                            <a:gd name="connsiteY1" fmla="*/ 83969 h 7175969"/>
                            <a:gd name="connsiteX2" fmla="*/ 7560000 w 7560000"/>
                            <a:gd name="connsiteY2" fmla="*/ 7175969 h 7175969"/>
                            <a:gd name="connsiteX3" fmla="*/ 1097327 w 7560000"/>
                            <a:gd name="connsiteY3" fmla="*/ 7167079 h 7175969"/>
                            <a:gd name="connsiteX4" fmla="*/ 2198465 w 7560000"/>
                            <a:gd name="connsiteY4" fmla="*/ 5086725 h 7175969"/>
                            <a:gd name="connsiteX5" fmla="*/ 2865243 w 7560000"/>
                            <a:gd name="connsiteY5" fmla="*/ 4263728 h 7175969"/>
                            <a:gd name="connsiteX6" fmla="*/ 4221661 w 7560000"/>
                            <a:gd name="connsiteY6" fmla="*/ 2472947 h 7175969"/>
                            <a:gd name="connsiteX7" fmla="*/ 5162578 w 7560000"/>
                            <a:gd name="connsiteY7" fmla="*/ 465353 h 7175969"/>
                            <a:gd name="connsiteX8" fmla="*/ 4654234 w 7560000"/>
                            <a:gd name="connsiteY8" fmla="*/ 87109 h 7175969"/>
                            <a:gd name="connsiteX9" fmla="*/ 4571406 w 7560000"/>
                            <a:gd name="connsiteY9" fmla="*/ 83969 h 7175969"/>
                            <a:gd name="connsiteX10" fmla="*/ 0 w 7560000"/>
                            <a:gd name="connsiteY10" fmla="*/ 83969 h 7175969"/>
                            <a:gd name="connsiteX11" fmla="*/ 975511 w 7560000"/>
                            <a:gd name="connsiteY11" fmla="*/ 83969 h 7175969"/>
                            <a:gd name="connsiteX12" fmla="*/ 884357 w 7560000"/>
                            <a:gd name="connsiteY12" fmla="*/ 89178 h 7175969"/>
                            <a:gd name="connsiteX13" fmla="*/ 4309295 w 7560000"/>
                            <a:gd name="connsiteY13" fmla="*/ 1272743 h 7175969"/>
                            <a:gd name="connsiteX14" fmla="*/ 3958760 w 7560000"/>
                            <a:gd name="connsiteY14" fmla="*/ 1718533 h 7175969"/>
                            <a:gd name="connsiteX15" fmla="*/ 542413 w 7560000"/>
                            <a:gd name="connsiteY15" fmla="*/ 6402590 h 7175969"/>
                            <a:gd name="connsiteX16" fmla="*/ 884876 w 7560000"/>
                            <a:gd name="connsiteY16" fmla="*/ 7169664 h 7175969"/>
                            <a:gd name="connsiteX17" fmla="*/ 976028 w 7560000"/>
                            <a:gd name="connsiteY17" fmla="*/ 7175969 h 7175969"/>
                            <a:gd name="connsiteX18" fmla="*/ 0 w 7560000"/>
                            <a:gd name="connsiteY18" fmla="*/ 7175969 h 7175969"/>
                            <a:gd name="connsiteX19" fmla="*/ 0 w 7560000"/>
                            <a:gd name="connsiteY19" fmla="*/ 83969 h 7175969"/>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1257354 w 7560000"/>
                            <a:gd name="connsiteY12" fmla="*/ 1091493 h 7092000"/>
                            <a:gd name="connsiteX13" fmla="*/ 4309295 w 7560000"/>
                            <a:gd name="connsiteY13" fmla="*/ 118877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1257354 w 7560000"/>
                            <a:gd name="connsiteY11" fmla="*/ 1091493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4370258 w 7560000"/>
                            <a:gd name="connsiteY8" fmla="*/ 1520395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3231019 w 7560584"/>
                            <a:gd name="connsiteY11" fmla="*/ 720187 h 7092000"/>
                            <a:gd name="connsiteX12" fmla="*/ 4309295 w 7560584"/>
                            <a:gd name="connsiteY12" fmla="*/ 1188774 h 7092000"/>
                            <a:gd name="connsiteX13" fmla="*/ 3958760 w 7560584"/>
                            <a:gd name="connsiteY13" fmla="*/ 1634564 h 7092000"/>
                            <a:gd name="connsiteX14" fmla="*/ 542413 w 7560584"/>
                            <a:gd name="connsiteY14" fmla="*/ 6318621 h 7092000"/>
                            <a:gd name="connsiteX15" fmla="*/ 884876 w 7560584"/>
                            <a:gd name="connsiteY15" fmla="*/ 7085695 h 7092000"/>
                            <a:gd name="connsiteX16" fmla="*/ 976028 w 7560584"/>
                            <a:gd name="connsiteY16" fmla="*/ 7092000 h 7092000"/>
                            <a:gd name="connsiteX17" fmla="*/ 0 w 7560584"/>
                            <a:gd name="connsiteY17" fmla="*/ 7092000 h 7092000"/>
                            <a:gd name="connsiteX18" fmla="*/ 0 w 7560584"/>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309295 w 7560584"/>
                            <a:gd name="connsiteY11" fmla="*/ 1188774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1136736 w 7560584"/>
                            <a:gd name="connsiteY13" fmla="*/ 6261892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2923841 w 7560584"/>
                            <a:gd name="connsiteY13" fmla="*/ 6292376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884876 w 7560584"/>
                            <a:gd name="connsiteY13" fmla="*/ 7085695 h 7092000"/>
                            <a:gd name="connsiteX14" fmla="*/ 976028 w 7560584"/>
                            <a:gd name="connsiteY14" fmla="*/ 7092000 h 7092000"/>
                            <a:gd name="connsiteX15" fmla="*/ 0 w 7560584"/>
                            <a:gd name="connsiteY15" fmla="*/ 7092000 h 7092000"/>
                            <a:gd name="connsiteX16" fmla="*/ 0 w 7560584"/>
                            <a:gd name="connsiteY16"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865243 w 7560584"/>
                            <a:gd name="connsiteY4" fmla="*/ 4179759 h 7092000"/>
                            <a:gd name="connsiteX5" fmla="*/ 4221661 w 7560584"/>
                            <a:gd name="connsiteY5" fmla="*/ 2388978 h 7092000"/>
                            <a:gd name="connsiteX6" fmla="*/ 4362638 w 7560584"/>
                            <a:gd name="connsiteY6" fmla="*/ 1832857 h 7092000"/>
                            <a:gd name="connsiteX7" fmla="*/ 4370258 w 7560584"/>
                            <a:gd name="connsiteY7" fmla="*/ 1520395 h 7092000"/>
                            <a:gd name="connsiteX8" fmla="*/ 4541715 w 7560584"/>
                            <a:gd name="connsiteY8" fmla="*/ 1085996 h 7092000"/>
                            <a:gd name="connsiteX9" fmla="*/ 0 w 7560584"/>
                            <a:gd name="connsiteY9" fmla="*/ 0 h 7092000"/>
                            <a:gd name="connsiteX10" fmla="*/ 4470887 w 7560584"/>
                            <a:gd name="connsiteY10" fmla="*/ 1064352 h 7092000"/>
                            <a:gd name="connsiteX11" fmla="*/ 3958760 w 7560584"/>
                            <a:gd name="connsiteY11" fmla="*/ 1634564 h 7092000"/>
                            <a:gd name="connsiteX12" fmla="*/ 884876 w 7560584"/>
                            <a:gd name="connsiteY12" fmla="*/ 7085695 h 7092000"/>
                            <a:gd name="connsiteX13" fmla="*/ 976028 w 7560584"/>
                            <a:gd name="connsiteY13" fmla="*/ 7092000 h 7092000"/>
                            <a:gd name="connsiteX14" fmla="*/ 0 w 7560584"/>
                            <a:gd name="connsiteY14" fmla="*/ 7092000 h 7092000"/>
                            <a:gd name="connsiteX15" fmla="*/ 0 w 7560584"/>
                            <a:gd name="connsiteY15"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611383 w 7560584"/>
                            <a:gd name="connsiteY3" fmla="*/ 5297832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86958 w 7560584"/>
                            <a:gd name="connsiteY9" fmla="*/ 2257043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633076 w 7560584"/>
                            <a:gd name="connsiteY0" fmla="*/ 3537375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633076 w 7560584"/>
                            <a:gd name="connsiteY7" fmla="*/ 3537375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884876 w 7560584"/>
                            <a:gd name="connsiteY10" fmla="*/ 7085695 h 7092000"/>
                            <a:gd name="connsiteX11" fmla="*/ 976028 w 7560584"/>
                            <a:gd name="connsiteY11" fmla="*/ 7092000 h 7092000"/>
                            <a:gd name="connsiteX12" fmla="*/ 0 w 7560584"/>
                            <a:gd name="connsiteY12" fmla="*/ 7092000 h 7092000"/>
                            <a:gd name="connsiteX13" fmla="*/ 0 w 7560584"/>
                            <a:gd name="connsiteY13"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976028 w 7560584"/>
                            <a:gd name="connsiteY10" fmla="*/ 7092000 h 7092000"/>
                            <a:gd name="connsiteX11" fmla="*/ 0 w 7560584"/>
                            <a:gd name="connsiteY11" fmla="*/ 7092000 h 7092000"/>
                            <a:gd name="connsiteX12" fmla="*/ 0 w 7560584"/>
                            <a:gd name="connsiteY12"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221661 w 7560584"/>
                            <a:gd name="connsiteY3" fmla="*/ 2388978 h 7092000"/>
                            <a:gd name="connsiteX4" fmla="*/ 4362638 w 7560584"/>
                            <a:gd name="connsiteY4" fmla="*/ 1832857 h 7092000"/>
                            <a:gd name="connsiteX5" fmla="*/ 4370258 w 7560584"/>
                            <a:gd name="connsiteY5" fmla="*/ 1520395 h 7092000"/>
                            <a:gd name="connsiteX6" fmla="*/ 5823599 w 7560584"/>
                            <a:gd name="connsiteY6" fmla="*/ 1590203 h 7092000"/>
                            <a:gd name="connsiteX7" fmla="*/ 0 w 7560584"/>
                            <a:gd name="connsiteY7" fmla="*/ 0 h 7092000"/>
                            <a:gd name="connsiteX8" fmla="*/ 4383246 w 7560584"/>
                            <a:gd name="connsiteY8" fmla="*/ 1376814 h 7092000"/>
                            <a:gd name="connsiteX9" fmla="*/ 976028 w 7560584"/>
                            <a:gd name="connsiteY9" fmla="*/ 7092000 h 7092000"/>
                            <a:gd name="connsiteX10" fmla="*/ 0 w 7560584"/>
                            <a:gd name="connsiteY10" fmla="*/ 7092000 h 7092000"/>
                            <a:gd name="connsiteX11" fmla="*/ 0 w 7560584"/>
                            <a:gd name="connsiteY11"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62638 w 7560584"/>
                            <a:gd name="connsiteY3" fmla="*/ 1832857 h 7092000"/>
                            <a:gd name="connsiteX4" fmla="*/ 4370258 w 7560584"/>
                            <a:gd name="connsiteY4" fmla="*/ 1520395 h 7092000"/>
                            <a:gd name="connsiteX5" fmla="*/ 5823599 w 7560584"/>
                            <a:gd name="connsiteY5" fmla="*/ 1590203 h 7092000"/>
                            <a:gd name="connsiteX6" fmla="*/ 0 w 7560584"/>
                            <a:gd name="connsiteY6" fmla="*/ 0 h 7092000"/>
                            <a:gd name="connsiteX7" fmla="*/ 4383246 w 7560584"/>
                            <a:gd name="connsiteY7" fmla="*/ 1376814 h 7092000"/>
                            <a:gd name="connsiteX8" fmla="*/ 976028 w 7560584"/>
                            <a:gd name="connsiteY8" fmla="*/ 7092000 h 7092000"/>
                            <a:gd name="connsiteX9" fmla="*/ 0 w 7560584"/>
                            <a:gd name="connsiteY9" fmla="*/ 7092000 h 7092000"/>
                            <a:gd name="connsiteX10" fmla="*/ 0 w 7560584"/>
                            <a:gd name="connsiteY10"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70258 w 7560584"/>
                            <a:gd name="connsiteY3" fmla="*/ 1520395 h 7092000"/>
                            <a:gd name="connsiteX4" fmla="*/ 5823599 w 7560584"/>
                            <a:gd name="connsiteY4" fmla="*/ 1590203 h 7092000"/>
                            <a:gd name="connsiteX5" fmla="*/ 0 w 7560584"/>
                            <a:gd name="connsiteY5" fmla="*/ 0 h 7092000"/>
                            <a:gd name="connsiteX6" fmla="*/ 4383246 w 7560584"/>
                            <a:gd name="connsiteY6" fmla="*/ 1376814 h 7092000"/>
                            <a:gd name="connsiteX7" fmla="*/ 976028 w 7560584"/>
                            <a:gd name="connsiteY7" fmla="*/ 7092000 h 7092000"/>
                            <a:gd name="connsiteX8" fmla="*/ 0 w 7560584"/>
                            <a:gd name="connsiteY8" fmla="*/ 7092000 h 7092000"/>
                            <a:gd name="connsiteX9" fmla="*/ 0 w 7560584"/>
                            <a:gd name="connsiteY9"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5823599 w 7560584"/>
                            <a:gd name="connsiteY3" fmla="*/ 1590203 h 7092000"/>
                            <a:gd name="connsiteX4" fmla="*/ 0 w 7560584"/>
                            <a:gd name="connsiteY4" fmla="*/ 0 h 7092000"/>
                            <a:gd name="connsiteX5" fmla="*/ 4383246 w 7560584"/>
                            <a:gd name="connsiteY5" fmla="*/ 1376814 h 7092000"/>
                            <a:gd name="connsiteX6" fmla="*/ 976028 w 7560584"/>
                            <a:gd name="connsiteY6" fmla="*/ 7092000 h 7092000"/>
                            <a:gd name="connsiteX7" fmla="*/ 0 w 7560584"/>
                            <a:gd name="connsiteY7" fmla="*/ 7092000 h 7092000"/>
                            <a:gd name="connsiteX8" fmla="*/ 0 w 7560584"/>
                            <a:gd name="connsiteY8" fmla="*/ 0 h 7092000"/>
                            <a:gd name="connsiteX0" fmla="*/ 7560000 w 7560584"/>
                            <a:gd name="connsiteY0" fmla="*/ 7092000 h 7092000"/>
                            <a:gd name="connsiteX1" fmla="*/ 7560584 w 7560584"/>
                            <a:gd name="connsiteY1" fmla="*/ 1917907 h 7092000"/>
                            <a:gd name="connsiteX2" fmla="*/ 7560000 w 7560584"/>
                            <a:gd name="connsiteY2" fmla="*/ 7092000 h 7092000"/>
                            <a:gd name="connsiteX3" fmla="*/ 0 w 7560584"/>
                            <a:gd name="connsiteY3" fmla="*/ 0 h 7092000"/>
                            <a:gd name="connsiteX4" fmla="*/ 4383246 w 7560584"/>
                            <a:gd name="connsiteY4" fmla="*/ 1376814 h 7092000"/>
                            <a:gd name="connsiteX5" fmla="*/ 976028 w 7560584"/>
                            <a:gd name="connsiteY5" fmla="*/ 7092000 h 7092000"/>
                            <a:gd name="connsiteX6" fmla="*/ 0 w 7560584"/>
                            <a:gd name="connsiteY6" fmla="*/ 7092000 h 7092000"/>
                            <a:gd name="connsiteX7" fmla="*/ 0 w 7560584"/>
                            <a:gd name="connsiteY7" fmla="*/ 0 h 7092000"/>
                            <a:gd name="connsiteX0" fmla="*/ 0 w 4389962"/>
                            <a:gd name="connsiteY0" fmla="*/ 0 h 7092000"/>
                            <a:gd name="connsiteX1" fmla="*/ 4383246 w 4389962"/>
                            <a:gd name="connsiteY1" fmla="*/ 1376814 h 7092000"/>
                            <a:gd name="connsiteX2" fmla="*/ 976028 w 4389962"/>
                            <a:gd name="connsiteY2" fmla="*/ 7092000 h 7092000"/>
                            <a:gd name="connsiteX3" fmla="*/ 0 w 4389962"/>
                            <a:gd name="connsiteY3" fmla="*/ 7092000 h 7092000"/>
                            <a:gd name="connsiteX4" fmla="*/ 0 w 4389962"/>
                            <a:gd name="connsiteY4" fmla="*/ 0 h 7092000"/>
                            <a:gd name="connsiteX0" fmla="*/ 0 w 8095226"/>
                            <a:gd name="connsiteY0" fmla="*/ 0 h 7092000"/>
                            <a:gd name="connsiteX1" fmla="*/ 8092247 w 8095226"/>
                            <a:gd name="connsiteY1" fmla="*/ 2059187 h 7092000"/>
                            <a:gd name="connsiteX2" fmla="*/ 976028 w 8095226"/>
                            <a:gd name="connsiteY2" fmla="*/ 7092000 h 7092000"/>
                            <a:gd name="connsiteX3" fmla="*/ 0 w 8095226"/>
                            <a:gd name="connsiteY3" fmla="*/ 7092000 h 7092000"/>
                            <a:gd name="connsiteX4" fmla="*/ 0 w 8095226"/>
                            <a:gd name="connsiteY4" fmla="*/ 0 h 7092000"/>
                            <a:gd name="connsiteX0" fmla="*/ 976028 w 8183691"/>
                            <a:gd name="connsiteY0" fmla="*/ 7092000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183691"/>
                            <a:gd name="connsiteY0" fmla="*/ 6997612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084686"/>
                            <a:gd name="connsiteY0" fmla="*/ 6997612 h 7092000"/>
                            <a:gd name="connsiteX1" fmla="*/ 0 w 8084686"/>
                            <a:gd name="connsiteY1" fmla="*/ 7092000 h 7092000"/>
                            <a:gd name="connsiteX2" fmla="*/ 0 w 8084686"/>
                            <a:gd name="connsiteY2" fmla="*/ 0 h 7092000"/>
                            <a:gd name="connsiteX3" fmla="*/ 8080875 w 8084686"/>
                            <a:gd name="connsiteY3" fmla="*/ 2013461 h 7092000"/>
                            <a:gd name="connsiteX0" fmla="*/ 8092882 w 8092882"/>
                            <a:gd name="connsiteY0" fmla="*/ 6997612 h 6997612"/>
                            <a:gd name="connsiteX1" fmla="*/ 0 w 8092882"/>
                            <a:gd name="connsiteY1" fmla="*/ 6860434 h 6997612"/>
                            <a:gd name="connsiteX2" fmla="*/ 8196 w 8092882"/>
                            <a:gd name="connsiteY2" fmla="*/ 0 h 6997612"/>
                            <a:gd name="connsiteX3" fmla="*/ 8089071 w 8092882"/>
                            <a:gd name="connsiteY3" fmla="*/ 2013461 h 6997612"/>
                            <a:gd name="connsiteX0" fmla="*/ 8100933 w 8100933"/>
                            <a:gd name="connsiteY0" fmla="*/ 6860669 h 6860669"/>
                            <a:gd name="connsiteX1" fmla="*/ 0 w 8100933"/>
                            <a:gd name="connsiteY1" fmla="*/ 6860434 h 6860669"/>
                            <a:gd name="connsiteX2" fmla="*/ 8196 w 8100933"/>
                            <a:gd name="connsiteY2" fmla="*/ 0 h 6860669"/>
                            <a:gd name="connsiteX3" fmla="*/ 8089071 w 8100933"/>
                            <a:gd name="connsiteY3" fmla="*/ 2013461 h 6860669"/>
                            <a:gd name="connsiteX0" fmla="*/ 8113502 w 8113502"/>
                            <a:gd name="connsiteY0" fmla="*/ 6860669 h 6897110"/>
                            <a:gd name="connsiteX1" fmla="*/ 0 w 8113502"/>
                            <a:gd name="connsiteY1" fmla="*/ 6897110 h 6897110"/>
                            <a:gd name="connsiteX2" fmla="*/ 20765 w 8113502"/>
                            <a:gd name="connsiteY2" fmla="*/ 0 h 6897110"/>
                            <a:gd name="connsiteX3" fmla="*/ 8101640 w 8113502"/>
                            <a:gd name="connsiteY3" fmla="*/ 2013461 h 6897110"/>
                            <a:gd name="connsiteX0" fmla="*/ 8115349 w 8115349"/>
                            <a:gd name="connsiteY0" fmla="*/ 6904335 h 6904335"/>
                            <a:gd name="connsiteX1" fmla="*/ 0 w 8115349"/>
                            <a:gd name="connsiteY1" fmla="*/ 6897110 h 6904335"/>
                            <a:gd name="connsiteX2" fmla="*/ 20765 w 8115349"/>
                            <a:gd name="connsiteY2" fmla="*/ 0 h 6904335"/>
                            <a:gd name="connsiteX3" fmla="*/ 8101640 w 8115349"/>
                            <a:gd name="connsiteY3" fmla="*/ 2013461 h 6904335"/>
                            <a:gd name="connsiteX0" fmla="*/ 8111481 w 8111481"/>
                            <a:gd name="connsiteY0" fmla="*/ 6889331 h 6897110"/>
                            <a:gd name="connsiteX1" fmla="*/ 0 w 8111481"/>
                            <a:gd name="connsiteY1" fmla="*/ 6897110 h 6897110"/>
                            <a:gd name="connsiteX2" fmla="*/ 20765 w 8111481"/>
                            <a:gd name="connsiteY2" fmla="*/ 0 h 6897110"/>
                            <a:gd name="connsiteX3" fmla="*/ 8101640 w 8111481"/>
                            <a:gd name="connsiteY3" fmla="*/ 2013461 h 6897110"/>
                            <a:gd name="connsiteX0" fmla="*/ 8111481 w 8119406"/>
                            <a:gd name="connsiteY0" fmla="*/ 6889331 h 6897110"/>
                            <a:gd name="connsiteX1" fmla="*/ 0 w 8119406"/>
                            <a:gd name="connsiteY1" fmla="*/ 6897110 h 6897110"/>
                            <a:gd name="connsiteX2" fmla="*/ 20765 w 8119406"/>
                            <a:gd name="connsiteY2" fmla="*/ 0 h 6897110"/>
                            <a:gd name="connsiteX3" fmla="*/ 8119406 w 8119406"/>
                            <a:gd name="connsiteY3" fmla="*/ 2067808 h 6897110"/>
                            <a:gd name="connsiteX0" fmla="*/ 8111481 w 8119406"/>
                            <a:gd name="connsiteY0" fmla="*/ 6890656 h 6898435"/>
                            <a:gd name="connsiteX1" fmla="*/ 0 w 8119406"/>
                            <a:gd name="connsiteY1" fmla="*/ 6898435 h 6898435"/>
                            <a:gd name="connsiteX2" fmla="*/ 3479 w 8119406"/>
                            <a:gd name="connsiteY2" fmla="*/ 0 h 6898435"/>
                            <a:gd name="connsiteX3" fmla="*/ 8119406 w 8119406"/>
                            <a:gd name="connsiteY3" fmla="*/ 2069133 h 6898435"/>
                            <a:gd name="connsiteX0" fmla="*/ 8112089 w 8119406"/>
                            <a:gd name="connsiteY0" fmla="*/ 6907271 h 6907271"/>
                            <a:gd name="connsiteX1" fmla="*/ 0 w 8119406"/>
                            <a:gd name="connsiteY1" fmla="*/ 6898435 h 6907271"/>
                            <a:gd name="connsiteX2" fmla="*/ 3479 w 8119406"/>
                            <a:gd name="connsiteY2" fmla="*/ 0 h 6907271"/>
                            <a:gd name="connsiteX3" fmla="*/ 8119406 w 8119406"/>
                            <a:gd name="connsiteY3" fmla="*/ 2069133 h 6907271"/>
                            <a:gd name="connsiteX0" fmla="*/ 8104468 w 8119406"/>
                            <a:gd name="connsiteY0" fmla="*/ 6869110 h 6898435"/>
                            <a:gd name="connsiteX1" fmla="*/ 0 w 8119406"/>
                            <a:gd name="connsiteY1" fmla="*/ 6898435 h 6898435"/>
                            <a:gd name="connsiteX2" fmla="*/ 3479 w 8119406"/>
                            <a:gd name="connsiteY2" fmla="*/ 0 h 6898435"/>
                            <a:gd name="connsiteX3" fmla="*/ 8119406 w 8119406"/>
                            <a:gd name="connsiteY3" fmla="*/ 2069133 h 6898435"/>
                            <a:gd name="connsiteX0" fmla="*/ 8104468 w 8119406"/>
                            <a:gd name="connsiteY0" fmla="*/ 6895840 h 6898435"/>
                            <a:gd name="connsiteX1" fmla="*/ 0 w 8119406"/>
                            <a:gd name="connsiteY1" fmla="*/ 6898435 h 6898435"/>
                            <a:gd name="connsiteX2" fmla="*/ 3479 w 8119406"/>
                            <a:gd name="connsiteY2" fmla="*/ 0 h 6898435"/>
                            <a:gd name="connsiteX3" fmla="*/ 8119406 w 8119406"/>
                            <a:gd name="connsiteY3" fmla="*/ 2069133 h 6898435"/>
                            <a:gd name="connsiteX0" fmla="*/ 8138501 w 8138501"/>
                            <a:gd name="connsiteY0" fmla="*/ 6895707 h 6898435"/>
                            <a:gd name="connsiteX1" fmla="*/ 0 w 8138501"/>
                            <a:gd name="connsiteY1" fmla="*/ 6898435 h 6898435"/>
                            <a:gd name="connsiteX2" fmla="*/ 3479 w 8138501"/>
                            <a:gd name="connsiteY2" fmla="*/ 0 h 6898435"/>
                            <a:gd name="connsiteX3" fmla="*/ 8119406 w 8138501"/>
                            <a:gd name="connsiteY3" fmla="*/ 2069133 h 6898435"/>
                            <a:gd name="connsiteX0" fmla="*/ 8138501 w 8138501"/>
                            <a:gd name="connsiteY0" fmla="*/ 6895707 h 6898435"/>
                            <a:gd name="connsiteX1" fmla="*/ 0 w 8138501"/>
                            <a:gd name="connsiteY1" fmla="*/ 6898435 h 6898435"/>
                            <a:gd name="connsiteX2" fmla="*/ 2966 w 8138501"/>
                            <a:gd name="connsiteY2" fmla="*/ 0 h 6898435"/>
                            <a:gd name="connsiteX3" fmla="*/ 8119406 w 8138501"/>
                            <a:gd name="connsiteY3" fmla="*/ 2069133 h 6898435"/>
                            <a:gd name="connsiteX0" fmla="*/ 8138501 w 8138501"/>
                            <a:gd name="connsiteY0" fmla="*/ 6879090 h 6881818"/>
                            <a:gd name="connsiteX1" fmla="*/ 0 w 8138501"/>
                            <a:gd name="connsiteY1" fmla="*/ 6881818 h 6881818"/>
                            <a:gd name="connsiteX2" fmla="*/ 2966 w 8138501"/>
                            <a:gd name="connsiteY2" fmla="*/ 0 h 6881818"/>
                            <a:gd name="connsiteX3" fmla="*/ 8119406 w 8138501"/>
                            <a:gd name="connsiteY3" fmla="*/ 2052516 h 6881818"/>
                            <a:gd name="connsiteX0" fmla="*/ 8138501 w 8169945"/>
                            <a:gd name="connsiteY0" fmla="*/ 6879090 h 6881818"/>
                            <a:gd name="connsiteX1" fmla="*/ 0 w 8169945"/>
                            <a:gd name="connsiteY1" fmla="*/ 6881818 h 6881818"/>
                            <a:gd name="connsiteX2" fmla="*/ 2966 w 8169945"/>
                            <a:gd name="connsiteY2" fmla="*/ 0 h 6881818"/>
                            <a:gd name="connsiteX3" fmla="*/ 8169945 w 8169945"/>
                            <a:gd name="connsiteY3" fmla="*/ 2064981 h 6881818"/>
                            <a:gd name="connsiteX0" fmla="*/ 8144221 w 8175665"/>
                            <a:gd name="connsiteY0" fmla="*/ 6880923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86652"/>
                            <a:gd name="connsiteY0" fmla="*/ 6879381 h 6883651"/>
                            <a:gd name="connsiteX1" fmla="*/ 5720 w 8186652"/>
                            <a:gd name="connsiteY1" fmla="*/ 6883651 h 6883651"/>
                            <a:gd name="connsiteX2" fmla="*/ 1619 w 8186652"/>
                            <a:gd name="connsiteY2" fmla="*/ 0 h 6883651"/>
                            <a:gd name="connsiteX3" fmla="*/ 8186652 w 8186652"/>
                            <a:gd name="connsiteY3" fmla="*/ 1518580 h 6883651"/>
                          </a:gdLst>
                          <a:ahLst/>
                          <a:cxnLst>
                            <a:cxn ang="0">
                              <a:pos x="connsiteX0" y="connsiteY0"/>
                            </a:cxn>
                            <a:cxn ang="0">
                              <a:pos x="connsiteX1" y="connsiteY1"/>
                            </a:cxn>
                            <a:cxn ang="0">
                              <a:pos x="connsiteX2" y="connsiteY2"/>
                            </a:cxn>
                            <a:cxn ang="0">
                              <a:pos x="connsiteX3" y="connsiteY3"/>
                            </a:cxn>
                          </a:cxnLst>
                          <a:rect l="l" t="t" r="r" b="b"/>
                          <a:pathLst>
                            <a:path w="8186652" h="6883651">
                              <a:moveTo>
                                <a:pt x="8174978" y="6879381"/>
                              </a:moveTo>
                              <a:lnTo>
                                <a:pt x="5720" y="6883651"/>
                              </a:lnTo>
                              <a:cubicBezTo>
                                <a:pt x="12642" y="4584614"/>
                                <a:pt x="-5303" y="2299037"/>
                                <a:pt x="1619" y="0"/>
                              </a:cubicBezTo>
                              <a:lnTo>
                                <a:pt x="8186652" y="1518580"/>
                              </a:lnTo>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9B12403" id="CoverLowerHalfBlue" o:spid="_x0000_s1026" style="position:absolute;margin-left:0;margin-top:0;width:595.3pt;height:715.6pt;z-index:-2516541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" o:allowincell="f" path="m8174978,6879381l5720,6883651c12642,4584614,-5303,2299037,1619,l8186652,1518580e" fillcolor="#00b5e2 [3204]" stroked="f" strokeweight="2pt">
                <v:path arrowok="t" o:connecttype="custom" o:connectlocs="7549529,9082672;5282,9088310;1495,0;7560310,2004943" o:connectangles="0,0,0,0"/>
                <w10:wrap anchorx="page" anchory="page"/>
              </v:shape>
            </w:pict>
          </mc:Fallback>
        </mc:AlternateContent>
      </w:r>
      <w:r w:rsidR="002C2D5C">
        <w:rPr>
          <w:noProof/>
        </w:rPr>
        <w:drawing>
          <wp:anchor distT="0" distB="0" distL="114300" distR="114300" simplePos="0" relativeHeight="251663360" behindDoc="0" locked="0" layoutInCell="1" allowOverlap="1" wp14:anchorId="652C0C7E" wp14:editId="71A28D42">
            <wp:simplePos x="0" y="0"/>
            <wp:positionH relativeFrom="rightMargin">
              <wp:posOffset>-1043940</wp:posOffset>
            </wp:positionH>
            <wp:positionV relativeFrom="page">
              <wp:posOffset>360045</wp:posOffset>
            </wp:positionV>
            <wp:extent cx="1620000" cy="238320"/>
            <wp:effectExtent l="0" t="0" r="0" b="9525"/>
            <wp:wrapNone/>
            <wp:docPr id="9" name="AECOMLogo" descr="aecom_imagineit_reverse_1mm_bord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OMLogo" descr="aecom_imagineit_reverse_1mm_border_v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238320"/>
                    </a:xfrm>
                    <a:prstGeom prst="rect">
                      <a:avLst/>
                    </a:prstGeom>
                    <a:noFill/>
                  </pic:spPr>
                </pic:pic>
              </a:graphicData>
            </a:graphic>
            <wp14:sizeRelH relativeFrom="page">
              <wp14:pctWidth>0</wp14:pctWidth>
            </wp14:sizeRelH>
            <wp14:sizeRelV relativeFrom="page">
              <wp14:pctHeight>0</wp14:pctHeight>
            </wp14:sizeRelV>
          </wp:anchor>
        </w:drawing>
      </w:r>
      <w:r w:rsidR="002C2D5C" w:rsidRPr="002D18ED">
        <w:rPr>
          <w:noProof/>
        </w:rPr>
        <w:t xml:space="preserve"> </w:t>
      </w:r>
    </w:p>
    <w:p w14:paraId="50971119" w14:textId="77777777" w:rsidR="002C2D5C" w:rsidRDefault="002C2D5C" w:rsidP="002C2D5C">
      <w:pPr>
        <w:pStyle w:val="BodyText"/>
        <w:jc w:val="both"/>
      </w:pPr>
      <w:r>
        <w:rPr>
          <w:noProof/>
        </w:rPr>
        <mc:AlternateContent>
          <mc:Choice Requires="wps">
            <w:drawing>
              <wp:anchor distT="0" distB="0" distL="114300" distR="114300" simplePos="0" relativeHeight="251659264" behindDoc="0" locked="0" layoutInCell="0" allowOverlap="1" wp14:anchorId="1787C98D" wp14:editId="4F4BD880">
                <wp:simplePos x="0" y="0"/>
                <wp:positionH relativeFrom="column">
                  <wp:posOffset>0</wp:posOffset>
                </wp:positionH>
                <wp:positionV relativeFrom="page">
                  <wp:align>bottom</wp:align>
                </wp:positionV>
                <wp:extent cx="5731510" cy="1354455"/>
                <wp:effectExtent l="0" t="0" r="254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596"/>
                              <w:gridCol w:w="2850"/>
                              <w:gridCol w:w="3491"/>
                            </w:tblGrid>
                            <w:tr w:rsidR="008B3943" w:rsidRPr="005A1F44" w14:paraId="352B8F08" w14:textId="77777777" w:rsidTr="00606621">
                              <w:trPr>
                                <w:trHeight w:val="1554"/>
                              </w:trPr>
                              <w:tc>
                                <w:tcPr>
                                  <w:tcW w:w="2635" w:type="dxa"/>
                                  <w:vAlign w:val="bottom"/>
                                </w:tcPr>
                                <w:bookmarkStart w:id="1" w:name="Cover3" w:colFirst="0" w:colLast="2"/>
                                <w:bookmarkStart w:id="2" w:name="CoverTable2"/>
                                <w:p w14:paraId="57A57E7C" w14:textId="77777777" w:rsidR="008B3943" w:rsidRPr="005A1F44" w:rsidRDefault="008B3943" w:rsidP="00C378B2">
                                  <w:pPr>
                                    <w:pStyle w:val="Coverfooter"/>
                                  </w:pPr>
                                  <w:r w:rsidRPr="005A1F44">
                                    <w:fldChar w:fldCharType="begin"/>
                                  </w:r>
                                  <w:r w:rsidRPr="005A1F44">
                                    <w:instrText xml:space="preserve"> DOCPROPERTY  FooterClientAddress \* MERGEFORMAT </w:instrText>
                                  </w:r>
                                  <w:r w:rsidRPr="005A1F44">
                                    <w:fldChar w:fldCharType="end"/>
                                  </w:r>
                                </w:p>
                              </w:tc>
                              <w:tc>
                                <w:tcPr>
                                  <w:tcW w:w="2894" w:type="dxa"/>
                                  <w:vAlign w:val="bottom"/>
                                </w:tcPr>
                                <w:p w14:paraId="02F24EF7" w14:textId="77777777" w:rsidR="008B3943" w:rsidRPr="005A1F44" w:rsidRDefault="008B3943" w:rsidP="00C378B2">
                                  <w:pPr>
                                    <w:pStyle w:val="Coverfooter"/>
                                  </w:pPr>
                                  <w:r w:rsidRPr="005A1F44">
                                    <w:fldChar w:fldCharType="begin"/>
                                  </w:r>
                                  <w:r w:rsidRPr="005A1F44">
                                    <w:instrText xml:space="preserve"> DOCPROPERTY  ProtectiveMarking \* MERGEFORMAT </w:instrText>
                                  </w:r>
                                  <w:r w:rsidRPr="005A1F44">
                                    <w:fldChar w:fldCharType="end"/>
                                  </w:r>
                                </w:p>
                                <w:p w14:paraId="24CC0D22" w14:textId="77777777" w:rsidR="008B3943" w:rsidRPr="005A1F44" w:rsidRDefault="008B3943" w:rsidP="00C378B2">
                                  <w:pPr>
                                    <w:pStyle w:val="Coverfooter"/>
                                  </w:pPr>
                                  <w:r w:rsidRPr="005A1F44">
                                    <w:fldChar w:fldCharType="begin"/>
                                  </w:r>
                                  <w:r w:rsidRPr="005A1F44">
                                    <w:instrText xml:space="preserve"> DOCPROPERTY  Copies \* MERGEFORMAT </w:instrText>
                                  </w:r>
                                  <w:r w:rsidRPr="005A1F44">
                                    <w:fldChar w:fldCharType="end"/>
                                  </w:r>
                                </w:p>
                              </w:tc>
                              <w:tc>
                                <w:tcPr>
                                  <w:tcW w:w="3545" w:type="dxa"/>
                                  <w:vAlign w:val="bottom"/>
                                </w:tcPr>
                                <w:p w14:paraId="43209C0F" w14:textId="77777777" w:rsidR="008B3943" w:rsidRPr="005A1F44" w:rsidRDefault="008B3943" w:rsidP="00C378B2">
                                  <w:pPr>
                                    <w:pStyle w:val="Coverfooter"/>
                                  </w:pPr>
                                </w:p>
                                <w:p w14:paraId="550FB999" w14:textId="77777777" w:rsidR="008B3943" w:rsidRPr="005A1F44" w:rsidRDefault="008B3943" w:rsidP="00C378B2">
                                  <w:pPr>
                                    <w:pStyle w:val="Coverfooter"/>
                                  </w:pPr>
                                </w:p>
                                <w:p w14:paraId="57500DBA" w14:textId="77777777" w:rsidR="008B3943" w:rsidRPr="005A1F44" w:rsidRDefault="008B3943" w:rsidP="00C378B2">
                                  <w:pPr>
                                    <w:pStyle w:val="Coverfooter"/>
                                  </w:pPr>
                                </w:p>
                              </w:tc>
                            </w:tr>
                            <w:bookmarkEnd w:id="1"/>
                            <w:bookmarkEnd w:id="2"/>
                          </w:tbl>
                          <w:p w14:paraId="631B0669" w14:textId="77777777" w:rsidR="008B3943" w:rsidRDefault="008B3943" w:rsidP="002C2D5C"/>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7C98D" id="_x0000_t202" coordsize="21600,21600" o:spt="202" path="m,l,21600r21600,l21600,xe">
                <v:stroke joinstyle="miter"/>
                <v:path gradientshapeok="t" o:connecttype="rect"/>
              </v:shapetype>
              <v:shape id="CoverFooterBox" o:spid="_x0000_s1026" type="#_x0000_t202" style="position:absolute;left:0;text-align:left;margin-left:0;margin-top:0;width:451.3pt;height:106.65pt;z-index:251659264;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" o:allowincell="f" filled="f" stroked="f">
                <v:textbox inset="0,0,0,1mm">
                  <w:txbxContent>
                    <w:tbl>
                      <w:tblPr>
                        <w:tblStyle w:val="Plaingrid"/>
                        <w:tblW w:w="4950" w:type="pct"/>
                        <w:tblLook w:val="04A0" w:firstRow="1" w:lastRow="0" w:firstColumn="1" w:lastColumn="0" w:noHBand="0" w:noVBand="1"/>
                      </w:tblPr>
                      <w:tblGrid>
                        <w:gridCol w:w="2596"/>
                        <w:gridCol w:w="2850"/>
                        <w:gridCol w:w="3491"/>
                      </w:tblGrid>
                      <w:tr w:rsidR="008B3943" w:rsidRPr="005A1F44" w14:paraId="352B8F08" w14:textId="77777777" w:rsidTr="00606621">
                        <w:trPr>
                          <w:trHeight w:val="1554"/>
                        </w:trPr>
                        <w:tc>
                          <w:tcPr>
                            <w:tcW w:w="2635" w:type="dxa"/>
                            <w:vAlign w:val="bottom"/>
                          </w:tcPr>
                          <w:bookmarkStart w:id="3" w:name="Cover3" w:colFirst="0" w:colLast="2"/>
                          <w:bookmarkStart w:id="4" w:name="CoverTable2"/>
                          <w:p w14:paraId="57A57E7C" w14:textId="77777777" w:rsidR="008B3943" w:rsidRPr="005A1F44" w:rsidRDefault="008B3943" w:rsidP="00C378B2">
                            <w:pPr>
                              <w:pStyle w:val="Coverfooter"/>
                            </w:pPr>
                            <w:r w:rsidRPr="005A1F44">
                              <w:fldChar w:fldCharType="begin"/>
                            </w:r>
                            <w:r w:rsidRPr="005A1F44">
                              <w:instrText xml:space="preserve"> DOCPROPERTY  FooterClientAddress \* MERGEFORMAT </w:instrText>
                            </w:r>
                            <w:r w:rsidRPr="005A1F44">
                              <w:fldChar w:fldCharType="end"/>
                            </w:r>
                          </w:p>
                        </w:tc>
                        <w:tc>
                          <w:tcPr>
                            <w:tcW w:w="2894" w:type="dxa"/>
                            <w:vAlign w:val="bottom"/>
                          </w:tcPr>
                          <w:p w14:paraId="02F24EF7" w14:textId="77777777" w:rsidR="008B3943" w:rsidRPr="005A1F44" w:rsidRDefault="008B3943" w:rsidP="00C378B2">
                            <w:pPr>
                              <w:pStyle w:val="Coverfooter"/>
                            </w:pPr>
                            <w:r w:rsidRPr="005A1F44">
                              <w:fldChar w:fldCharType="begin"/>
                            </w:r>
                            <w:r w:rsidRPr="005A1F44">
                              <w:instrText xml:space="preserve"> DOCPROPERTY  ProtectiveMarking \* MERGEFORMAT </w:instrText>
                            </w:r>
                            <w:r w:rsidRPr="005A1F44">
                              <w:fldChar w:fldCharType="end"/>
                            </w:r>
                          </w:p>
                          <w:p w14:paraId="24CC0D22" w14:textId="77777777" w:rsidR="008B3943" w:rsidRPr="005A1F44" w:rsidRDefault="008B3943" w:rsidP="00C378B2">
                            <w:pPr>
                              <w:pStyle w:val="Coverfooter"/>
                            </w:pPr>
                            <w:r w:rsidRPr="005A1F44">
                              <w:fldChar w:fldCharType="begin"/>
                            </w:r>
                            <w:r w:rsidRPr="005A1F44">
                              <w:instrText xml:space="preserve"> DOCPROPERTY  Copies \* MERGEFORMAT </w:instrText>
                            </w:r>
                            <w:r w:rsidRPr="005A1F44">
                              <w:fldChar w:fldCharType="end"/>
                            </w:r>
                          </w:p>
                        </w:tc>
                        <w:tc>
                          <w:tcPr>
                            <w:tcW w:w="3545" w:type="dxa"/>
                            <w:vAlign w:val="bottom"/>
                          </w:tcPr>
                          <w:p w14:paraId="43209C0F" w14:textId="77777777" w:rsidR="008B3943" w:rsidRPr="005A1F44" w:rsidRDefault="008B3943" w:rsidP="00C378B2">
                            <w:pPr>
                              <w:pStyle w:val="Coverfooter"/>
                            </w:pPr>
                          </w:p>
                          <w:p w14:paraId="550FB999" w14:textId="77777777" w:rsidR="008B3943" w:rsidRPr="005A1F44" w:rsidRDefault="008B3943" w:rsidP="00C378B2">
                            <w:pPr>
                              <w:pStyle w:val="Coverfooter"/>
                            </w:pPr>
                          </w:p>
                          <w:p w14:paraId="57500DBA" w14:textId="77777777" w:rsidR="008B3943" w:rsidRPr="005A1F44" w:rsidRDefault="008B3943" w:rsidP="00C378B2">
                            <w:pPr>
                              <w:pStyle w:val="Coverfooter"/>
                            </w:pPr>
                          </w:p>
                        </w:tc>
                      </w:tr>
                      <w:bookmarkEnd w:id="3"/>
                      <w:bookmarkEnd w:id="4"/>
                    </w:tbl>
                    <w:p w14:paraId="631B0669" w14:textId="77777777" w:rsidR="008B3943" w:rsidRDefault="008B3943" w:rsidP="002C2D5C"/>
                  </w:txbxContent>
                </v:textbox>
                <w10:wrap anchory="page"/>
              </v:shape>
            </w:pict>
          </mc:Fallback>
        </mc:AlternateContent>
      </w:r>
      <w:r>
        <w:rPr>
          <w:noProof/>
        </w:rPr>
        <mc:AlternateContent>
          <mc:Choice Requires="wps">
            <w:drawing>
              <wp:anchor distT="0" distB="0" distL="114300" distR="114300" simplePos="0" relativeHeight="251660288" behindDoc="0" locked="0" layoutInCell="0" allowOverlap="1" wp14:anchorId="2BBD7BC5" wp14:editId="1F42032B">
                <wp:simplePos x="0" y="0"/>
                <wp:positionH relativeFrom="margin">
                  <wp:posOffset>0</wp:posOffset>
                </wp:positionH>
                <wp:positionV relativeFrom="page">
                  <wp:posOffset>4009390</wp:posOffset>
                </wp:positionV>
                <wp:extent cx="5731510" cy="3081659"/>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81659"/>
                        </a:xfrm>
                        <a:prstGeom prst="rect">
                          <a:avLst/>
                        </a:prstGeom>
                        <a:noFill/>
                        <a:ln w="9525">
                          <a:noFill/>
                          <a:miter lim="800000"/>
                          <a:headEnd/>
                          <a:tailEnd/>
                        </a:ln>
                      </wps:spPr>
                      <wps:txbx>
                        <w:txbxContent>
                          <w:tbl>
                            <w:tblPr>
                              <w:tblStyle w:val="Plaingrid"/>
                              <w:tblW w:w="3500" w:type="pct"/>
                              <w:tblLook w:val="04A0" w:firstRow="1" w:lastRow="0" w:firstColumn="1" w:lastColumn="0" w:noHBand="0" w:noVBand="1"/>
                            </w:tblPr>
                            <w:tblGrid>
                              <w:gridCol w:w="6319"/>
                            </w:tblGrid>
                            <w:tr w:rsidR="008B3943" w:rsidRPr="005A1F44" w14:paraId="30FB775B" w14:textId="77777777" w:rsidTr="00E7679A">
                              <w:trPr>
                                <w:trHeight w:val="3547"/>
                              </w:trPr>
                              <w:tc>
                                <w:tcPr>
                                  <w:tcW w:w="8132" w:type="dxa"/>
                                </w:tcPr>
                                <w:p w14:paraId="1ED1E88D" w14:textId="1955E57E" w:rsidR="008B3943" w:rsidRDefault="008B3943" w:rsidP="00C378B2">
                                  <w:pPr>
                                    <w:pStyle w:val="Title"/>
                                  </w:pPr>
                                  <w:bookmarkStart w:id="5" w:name="Cover1" w:colFirst="0" w:colLast="1"/>
                                  <w:bookmarkStart w:id="6" w:name="CoverTable1"/>
                                  <w:r>
                                    <w:t>Weymouth</w:t>
                                  </w:r>
                                </w:p>
                                <w:p w14:paraId="75D32D1B" w14:textId="77777777" w:rsidR="008B3943" w:rsidRPr="005A1F44" w:rsidRDefault="008B3943" w:rsidP="00C378B2">
                                  <w:pPr>
                                    <w:pStyle w:val="Title"/>
                                  </w:pPr>
                                  <w:r>
                                    <w:t>Housing Needs Assessment (HNA)</w:t>
                                  </w:r>
                                </w:p>
                                <w:p w14:paraId="41765461" w14:textId="77777777" w:rsidR="008B3943" w:rsidRPr="005A1F44" w:rsidRDefault="008B3943" w:rsidP="00C378B2">
                                  <w:pPr>
                                    <w:pStyle w:val="Subtitleheading"/>
                                  </w:pPr>
                                  <w:r w:rsidRPr="005A1F44">
                                    <w:fldChar w:fldCharType="begin"/>
                                  </w:r>
                                  <w:r w:rsidRPr="005A1F44">
                                    <w:instrText xml:space="preserve"> DOCPROPERTY  SubTitle \* MERGEFORMAT </w:instrText>
                                  </w:r>
                                  <w:r w:rsidRPr="005A1F44">
                                    <w:fldChar w:fldCharType="end"/>
                                  </w:r>
                                </w:p>
                                <w:p w14:paraId="738FD28B" w14:textId="77777777" w:rsidR="008B3943" w:rsidRPr="005A1F44" w:rsidRDefault="008B3943" w:rsidP="00C378B2">
                                  <w:pPr>
                                    <w:pStyle w:val="Subtitleheading"/>
                                  </w:pPr>
                                  <w:r w:rsidRPr="005A1F44">
                                    <w:fldChar w:fldCharType="begin"/>
                                  </w:r>
                                  <w:r w:rsidRPr="005A1F44">
                                    <w:instrText xml:space="preserve"> DOCPROPERTY  SupplementaryTitle \* MERGEFORMAT </w:instrText>
                                  </w:r>
                                  <w:r w:rsidRPr="005A1F44">
                                    <w:fldChar w:fldCharType="end"/>
                                  </w:r>
                                </w:p>
                                <w:p w14:paraId="6F8D1F5F" w14:textId="77777777" w:rsidR="008B3943" w:rsidRPr="005A1F44" w:rsidRDefault="008B3943" w:rsidP="00C378B2"/>
                                <w:p w14:paraId="13F9698A" w14:textId="77777777" w:rsidR="008B3943" w:rsidRPr="005A1F44" w:rsidRDefault="008B3943" w:rsidP="00C378B2">
                                  <w:pPr>
                                    <w:pStyle w:val="Subtitleheading"/>
                                  </w:pPr>
                                  <w:r w:rsidRPr="005A1F44">
                                    <w:fldChar w:fldCharType="begin"/>
                                  </w:r>
                                  <w:r w:rsidRPr="005A1F44">
                                    <w:instrText xml:space="preserve"> DOCPROPERTY  ClientName \* MERGEFORMAT </w:instrText>
                                  </w:r>
                                  <w:r w:rsidRPr="005A1F44">
                                    <w:fldChar w:fldCharType="end"/>
                                  </w:r>
                                </w:p>
                                <w:p w14:paraId="62528782" w14:textId="77777777" w:rsidR="008B3943" w:rsidRPr="005A1F44" w:rsidRDefault="008B3943" w:rsidP="00C378B2">
                                  <w:pPr>
                                    <w:pStyle w:val="Subtitle"/>
                                  </w:pPr>
                                  <w:r w:rsidRPr="005A1F44">
                                    <w:fldChar w:fldCharType="begin"/>
                                  </w:r>
                                  <w:r w:rsidRPr="005A1F44">
                                    <w:instrText xml:space="preserve"> DOCPROPERTY  TenderStage \* MERGEFORMAT </w:instrText>
                                  </w:r>
                                  <w:r w:rsidRPr="005A1F44">
                                    <w:fldChar w:fldCharType="end"/>
                                  </w:r>
                                </w:p>
                                <w:p w14:paraId="13255ECB" w14:textId="77777777" w:rsidR="008B3943" w:rsidRPr="005A1F44" w:rsidRDefault="008B3943" w:rsidP="00C378B2"/>
                                <w:p w14:paraId="1BB2600C" w14:textId="77777777" w:rsidR="008B3943" w:rsidRPr="005A1F44" w:rsidRDefault="00D72010" w:rsidP="00C378B2">
                                  <w:pPr>
                                    <w:pStyle w:val="Coverfooter"/>
                                  </w:pPr>
                                  <w:r>
                                    <w:fldChar w:fldCharType="begin"/>
                                  </w:r>
                                  <w:r>
                                    <w:instrText xml:space="preserve"> DOCPROPERTY  ProjectRef \* MERGEFORMAT </w:instrText>
                                  </w:r>
                                  <w:r>
                                    <w:fldChar w:fldCharType="separate"/>
                                  </w:r>
                                  <w:r w:rsidR="008B3943">
                                    <w:t xml:space="preserve"> </w:t>
                                  </w:r>
                                  <w:r>
                                    <w:fldChar w:fldCharType="end"/>
                                  </w:r>
                                </w:p>
                                <w:p w14:paraId="251B7F15" w14:textId="77777777" w:rsidR="008B3943" w:rsidRPr="005A1F44" w:rsidRDefault="00D72010" w:rsidP="00C378B2">
                                  <w:pPr>
                                    <w:pStyle w:val="Coverfooter"/>
                                  </w:pPr>
                                  <w:r>
                                    <w:fldChar w:fldCharType="begin"/>
                                  </w:r>
                                  <w:r>
                                    <w:instrText xml:space="preserve"> DOCPROPERTY  ProjectNumber </w:instrText>
                                  </w:r>
                                  <w:r>
                                    <w:instrText xml:space="preserve">\* MERGEFORMAT </w:instrText>
                                  </w:r>
                                  <w:r>
                                    <w:fldChar w:fldCharType="separate"/>
                                  </w:r>
                                  <w:r w:rsidR="008B3943">
                                    <w:t xml:space="preserve"> </w:t>
                                  </w:r>
                                  <w:r>
                                    <w:fldChar w:fldCharType="end"/>
                                  </w:r>
                                </w:p>
                                <w:p w14:paraId="2AE7107D" w14:textId="77777777" w:rsidR="008B3943" w:rsidRPr="005A1F44" w:rsidRDefault="008B3943" w:rsidP="00C378B2">
                                  <w:pPr>
                                    <w:pStyle w:val="Coverfooter"/>
                                  </w:pPr>
                                  <w:r w:rsidRPr="005A1F44">
                                    <w:fldChar w:fldCharType="begin"/>
                                  </w:r>
                                  <w:r w:rsidRPr="005A1F44">
                                    <w:instrText xml:space="preserve"> DOCPROPERTY  DocumentReference \* MERGEFORMAT </w:instrText>
                                  </w:r>
                                  <w:r w:rsidRPr="005A1F44">
                                    <w:fldChar w:fldCharType="end"/>
                                  </w:r>
                                </w:p>
                                <w:p w14:paraId="7D70464D" w14:textId="77777777" w:rsidR="008B3943" w:rsidRPr="005A1F44" w:rsidRDefault="008B3943" w:rsidP="00C378B2">
                                  <w:pPr>
                                    <w:pStyle w:val="Coverfooter"/>
                                  </w:pPr>
                                </w:p>
                                <w:p w14:paraId="5745EF55" w14:textId="21BCA433" w:rsidR="008B3943" w:rsidRPr="005A1F44" w:rsidRDefault="008B3943" w:rsidP="00C378B2">
                                  <w:pPr>
                                    <w:pStyle w:val="Coverfooter"/>
                                  </w:pPr>
                                  <w:r>
                                    <w:t>April 2021</w:t>
                                  </w:r>
                                </w:p>
                              </w:tc>
                            </w:tr>
                            <w:bookmarkEnd w:id="5"/>
                            <w:bookmarkEnd w:id="6"/>
                          </w:tbl>
                          <w:p w14:paraId="3A1EB1FB" w14:textId="77777777" w:rsidR="008B3943" w:rsidRDefault="008B3943" w:rsidP="002C2D5C"/>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 w14:anchorId="2BBD7BC5" id="CoverTitleBox" o:spid="_x0000_s1027" type="#_x0000_t202" style="position:absolute;left:0;text-align:left;margin-left:0;margin-top:315.7pt;width:451.3pt;height:242.65pt;z-index:251660288;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" o:allowincell="f" filled="f" stroked="f">
                <v:textbox inset="0,0,0,1mm">
                  <w:txbxContent>
                    <w:tbl>
                      <w:tblPr>
                        <w:tblStyle w:val="Plaingrid"/>
                        <w:tblW w:w="3500" w:type="pct"/>
                        <w:tblLook w:val="04A0" w:firstRow="1" w:lastRow="0" w:firstColumn="1" w:lastColumn="0" w:noHBand="0" w:noVBand="1"/>
                      </w:tblPr>
                      <w:tblGrid>
                        <w:gridCol w:w="6319"/>
                      </w:tblGrid>
                      <w:tr w:rsidR="008B3943" w:rsidRPr="005A1F44" w14:paraId="30FB775B" w14:textId="77777777" w:rsidTr="00E7679A">
                        <w:trPr>
                          <w:trHeight w:val="3547"/>
                        </w:trPr>
                        <w:tc>
                          <w:tcPr>
                            <w:tcW w:w="8132" w:type="dxa"/>
                          </w:tcPr>
                          <w:p w14:paraId="1ED1E88D" w14:textId="1955E57E" w:rsidR="008B3943" w:rsidRDefault="008B3943" w:rsidP="00C378B2">
                            <w:pPr>
                              <w:pStyle w:val="Title"/>
                            </w:pPr>
                            <w:bookmarkStart w:id="7" w:name="Cover1" w:colFirst="0" w:colLast="1"/>
                            <w:bookmarkStart w:id="8" w:name="CoverTable1"/>
                            <w:r>
                              <w:t>Weymouth</w:t>
                            </w:r>
                          </w:p>
                          <w:p w14:paraId="75D32D1B" w14:textId="77777777" w:rsidR="008B3943" w:rsidRPr="005A1F44" w:rsidRDefault="008B3943" w:rsidP="00C378B2">
                            <w:pPr>
                              <w:pStyle w:val="Title"/>
                            </w:pPr>
                            <w:r>
                              <w:t>Housing Needs Assessment (HNA)</w:t>
                            </w:r>
                          </w:p>
                          <w:p w14:paraId="41765461" w14:textId="77777777" w:rsidR="008B3943" w:rsidRPr="005A1F44" w:rsidRDefault="008B3943" w:rsidP="00C378B2">
                            <w:pPr>
                              <w:pStyle w:val="Subtitleheading"/>
                            </w:pPr>
                            <w:r w:rsidRPr="005A1F44">
                              <w:fldChar w:fldCharType="begin"/>
                            </w:r>
                            <w:r w:rsidRPr="005A1F44">
                              <w:instrText xml:space="preserve"> DOCPROPERTY  SubTitle \* MERGEFORMAT </w:instrText>
                            </w:r>
                            <w:r w:rsidRPr="005A1F44">
                              <w:fldChar w:fldCharType="end"/>
                            </w:r>
                          </w:p>
                          <w:p w14:paraId="738FD28B" w14:textId="77777777" w:rsidR="008B3943" w:rsidRPr="005A1F44" w:rsidRDefault="008B3943" w:rsidP="00C378B2">
                            <w:pPr>
                              <w:pStyle w:val="Subtitleheading"/>
                            </w:pPr>
                            <w:r w:rsidRPr="005A1F44">
                              <w:fldChar w:fldCharType="begin"/>
                            </w:r>
                            <w:r w:rsidRPr="005A1F44">
                              <w:instrText xml:space="preserve"> DOCPROPERTY  SupplementaryTitle \* MERGEFORMAT </w:instrText>
                            </w:r>
                            <w:r w:rsidRPr="005A1F44">
                              <w:fldChar w:fldCharType="end"/>
                            </w:r>
                          </w:p>
                          <w:p w14:paraId="6F8D1F5F" w14:textId="77777777" w:rsidR="008B3943" w:rsidRPr="005A1F44" w:rsidRDefault="008B3943" w:rsidP="00C378B2"/>
                          <w:p w14:paraId="13F9698A" w14:textId="77777777" w:rsidR="008B3943" w:rsidRPr="005A1F44" w:rsidRDefault="008B3943" w:rsidP="00C378B2">
                            <w:pPr>
                              <w:pStyle w:val="Subtitleheading"/>
                            </w:pPr>
                            <w:r w:rsidRPr="005A1F44">
                              <w:fldChar w:fldCharType="begin"/>
                            </w:r>
                            <w:r w:rsidRPr="005A1F44">
                              <w:instrText xml:space="preserve"> DOCPROPERTY  ClientName \* MERGEFORMAT </w:instrText>
                            </w:r>
                            <w:r w:rsidRPr="005A1F44">
                              <w:fldChar w:fldCharType="end"/>
                            </w:r>
                          </w:p>
                          <w:p w14:paraId="62528782" w14:textId="77777777" w:rsidR="008B3943" w:rsidRPr="005A1F44" w:rsidRDefault="008B3943" w:rsidP="00C378B2">
                            <w:pPr>
                              <w:pStyle w:val="Subtitle"/>
                            </w:pPr>
                            <w:r w:rsidRPr="005A1F44">
                              <w:fldChar w:fldCharType="begin"/>
                            </w:r>
                            <w:r w:rsidRPr="005A1F44">
                              <w:instrText xml:space="preserve"> DOCPROPERTY  TenderStage \* MERGEFORMAT </w:instrText>
                            </w:r>
                            <w:r w:rsidRPr="005A1F44">
                              <w:fldChar w:fldCharType="end"/>
                            </w:r>
                          </w:p>
                          <w:p w14:paraId="13255ECB" w14:textId="77777777" w:rsidR="008B3943" w:rsidRPr="005A1F44" w:rsidRDefault="008B3943" w:rsidP="00C378B2"/>
                          <w:p w14:paraId="1BB2600C" w14:textId="77777777" w:rsidR="008B3943" w:rsidRPr="005A1F44" w:rsidRDefault="00D72010" w:rsidP="00C378B2">
                            <w:pPr>
                              <w:pStyle w:val="Coverfooter"/>
                            </w:pPr>
                            <w:r>
                              <w:fldChar w:fldCharType="begin"/>
                            </w:r>
                            <w:r>
                              <w:instrText xml:space="preserve"> DOCPROPERTY  ProjectRef \* MERGEFORMAT </w:instrText>
                            </w:r>
                            <w:r>
                              <w:fldChar w:fldCharType="separate"/>
                            </w:r>
                            <w:r w:rsidR="008B3943">
                              <w:t xml:space="preserve"> </w:t>
                            </w:r>
                            <w:r>
                              <w:fldChar w:fldCharType="end"/>
                            </w:r>
                          </w:p>
                          <w:p w14:paraId="251B7F15" w14:textId="77777777" w:rsidR="008B3943" w:rsidRPr="005A1F44" w:rsidRDefault="00D72010" w:rsidP="00C378B2">
                            <w:pPr>
                              <w:pStyle w:val="Coverfooter"/>
                            </w:pPr>
                            <w:r>
                              <w:fldChar w:fldCharType="begin"/>
                            </w:r>
                            <w:r>
                              <w:instrText xml:space="preserve"> DOCPROPERTY  ProjectNumber </w:instrText>
                            </w:r>
                            <w:r>
                              <w:instrText xml:space="preserve">\* MERGEFORMAT </w:instrText>
                            </w:r>
                            <w:r>
                              <w:fldChar w:fldCharType="separate"/>
                            </w:r>
                            <w:r w:rsidR="008B3943">
                              <w:t xml:space="preserve"> </w:t>
                            </w:r>
                            <w:r>
                              <w:fldChar w:fldCharType="end"/>
                            </w:r>
                          </w:p>
                          <w:p w14:paraId="2AE7107D" w14:textId="77777777" w:rsidR="008B3943" w:rsidRPr="005A1F44" w:rsidRDefault="008B3943" w:rsidP="00C378B2">
                            <w:pPr>
                              <w:pStyle w:val="Coverfooter"/>
                            </w:pPr>
                            <w:r w:rsidRPr="005A1F44">
                              <w:fldChar w:fldCharType="begin"/>
                            </w:r>
                            <w:r w:rsidRPr="005A1F44">
                              <w:instrText xml:space="preserve"> DOCPROPERTY  DocumentReference \* MERGEFORMAT </w:instrText>
                            </w:r>
                            <w:r w:rsidRPr="005A1F44">
                              <w:fldChar w:fldCharType="end"/>
                            </w:r>
                          </w:p>
                          <w:p w14:paraId="7D70464D" w14:textId="77777777" w:rsidR="008B3943" w:rsidRPr="005A1F44" w:rsidRDefault="008B3943" w:rsidP="00C378B2">
                            <w:pPr>
                              <w:pStyle w:val="Coverfooter"/>
                            </w:pPr>
                          </w:p>
                          <w:p w14:paraId="5745EF55" w14:textId="21BCA433" w:rsidR="008B3943" w:rsidRPr="005A1F44" w:rsidRDefault="008B3943" w:rsidP="00C378B2">
                            <w:pPr>
                              <w:pStyle w:val="Coverfooter"/>
                            </w:pPr>
                            <w:r>
                              <w:t>April 2021</w:t>
                            </w:r>
                          </w:p>
                        </w:tc>
                      </w:tr>
                      <w:bookmarkEnd w:id="7"/>
                      <w:bookmarkEnd w:id="8"/>
                    </w:tbl>
                    <w:p w14:paraId="3A1EB1FB" w14:textId="77777777" w:rsidR="008B3943" w:rsidRDefault="008B3943" w:rsidP="002C2D5C"/>
                  </w:txbxContent>
                </v:textbox>
                <w10:wrap anchorx="margin" anchory="page"/>
              </v:shape>
            </w:pict>
          </mc:Fallback>
        </mc:AlternateContent>
      </w:r>
    </w:p>
    <w:p w14:paraId="4E77C313" w14:textId="77777777" w:rsidR="002C2D5C" w:rsidRDefault="002C2D5C" w:rsidP="002C2D5C">
      <w:pPr>
        <w:pStyle w:val="BodyText"/>
        <w:jc w:val="both"/>
        <w:sectPr w:rsidR="002C2D5C" w:rsidSect="00B90E18">
          <w:pgSz w:w="11906" w:h="16838" w:code="9"/>
          <w:pgMar w:top="1134" w:right="1440" w:bottom="851" w:left="1440" w:header="709" w:footer="284" w:gutter="0"/>
          <w:cols w:space="708"/>
          <w:docGrid w:linePitch="360"/>
        </w:sectPr>
      </w:pPr>
    </w:p>
    <w:p w14:paraId="63838552" w14:textId="77777777" w:rsidR="002C2D5C" w:rsidRDefault="002C2D5C" w:rsidP="002C2D5C">
      <w:pPr>
        <w:pStyle w:val="Heading"/>
        <w:jc w:val="both"/>
      </w:pPr>
      <w:bookmarkStart w:id="9" w:name="Text_QualityInformation"/>
    </w:p>
    <w:p w14:paraId="479E7753" w14:textId="77777777" w:rsidR="002C2D5C" w:rsidRPr="00542F08" w:rsidRDefault="002C2D5C" w:rsidP="002C2D5C">
      <w:pPr>
        <w:pStyle w:val="Heading"/>
        <w:jc w:val="both"/>
      </w:pPr>
      <w:r>
        <w:t>Quality information</w:t>
      </w:r>
      <w:bookmarkEnd w:id="9"/>
    </w:p>
    <w:tbl>
      <w:tblPr>
        <w:tblStyle w:val="AECOMtable"/>
        <w:tblW w:w="4950" w:type="pct"/>
        <w:tblLook w:val="04A0" w:firstRow="1" w:lastRow="0" w:firstColumn="1" w:lastColumn="0" w:noHBand="0" w:noVBand="1"/>
      </w:tblPr>
      <w:tblGrid>
        <w:gridCol w:w="2523"/>
        <w:gridCol w:w="419"/>
        <w:gridCol w:w="2799"/>
        <w:gridCol w:w="419"/>
        <w:gridCol w:w="2776"/>
      </w:tblGrid>
      <w:tr w:rsidR="002C2D5C" w:rsidRPr="004B77D6" w14:paraId="1B9F4188" w14:textId="77777777" w:rsidTr="00C378B2">
        <w:trPr>
          <w:cnfStyle w:val="100000000000" w:firstRow="1" w:lastRow="0" w:firstColumn="0" w:lastColumn="0" w:oddVBand="0" w:evenVBand="0" w:oddHBand="0" w:evenHBand="0" w:firstRowFirstColumn="0" w:firstRowLastColumn="0" w:lastRowFirstColumn="0" w:lastRowLastColumn="0"/>
        </w:trPr>
        <w:tc>
          <w:tcPr>
            <w:tcW w:w="2552" w:type="dxa"/>
          </w:tcPr>
          <w:p w14:paraId="25549182" w14:textId="77777777" w:rsidR="002C2D5C" w:rsidRPr="004B77D6" w:rsidRDefault="002C2D5C" w:rsidP="00C378B2">
            <w:pPr>
              <w:pStyle w:val="Tabletext"/>
              <w:jc w:val="both"/>
              <w:rPr>
                <w:sz w:val="18"/>
                <w:szCs w:val="18"/>
              </w:rPr>
            </w:pPr>
            <w:bookmarkStart w:id="10" w:name="Text_PreparedBy"/>
            <w:r w:rsidRPr="004B77D6">
              <w:rPr>
                <w:sz w:val="18"/>
                <w:szCs w:val="18"/>
              </w:rPr>
              <w:t>Prepared by</w:t>
            </w:r>
            <w:bookmarkEnd w:id="10"/>
          </w:p>
        </w:tc>
        <w:tc>
          <w:tcPr>
            <w:tcW w:w="425" w:type="dxa"/>
            <w:tcBorders>
              <w:bottom w:val="nil"/>
            </w:tcBorders>
          </w:tcPr>
          <w:p w14:paraId="385EE059" w14:textId="77777777" w:rsidR="002C2D5C" w:rsidRPr="004B77D6" w:rsidRDefault="002C2D5C" w:rsidP="00C378B2">
            <w:pPr>
              <w:pStyle w:val="Tabletext"/>
              <w:jc w:val="both"/>
              <w:rPr>
                <w:sz w:val="18"/>
                <w:szCs w:val="18"/>
              </w:rPr>
            </w:pPr>
          </w:p>
        </w:tc>
        <w:tc>
          <w:tcPr>
            <w:tcW w:w="2835" w:type="dxa"/>
          </w:tcPr>
          <w:p w14:paraId="2AD1920C" w14:textId="77777777" w:rsidR="002C2D5C" w:rsidRPr="004B77D6" w:rsidRDefault="002C2D5C" w:rsidP="00C378B2">
            <w:pPr>
              <w:pStyle w:val="Tabletext"/>
              <w:jc w:val="both"/>
              <w:rPr>
                <w:sz w:val="18"/>
                <w:szCs w:val="18"/>
              </w:rPr>
            </w:pPr>
            <w:bookmarkStart w:id="11" w:name="Text_CheckedBy"/>
            <w:r w:rsidRPr="004B77D6">
              <w:rPr>
                <w:sz w:val="18"/>
                <w:szCs w:val="18"/>
              </w:rPr>
              <w:t>Checked by</w:t>
            </w:r>
            <w:bookmarkEnd w:id="11"/>
          </w:p>
        </w:tc>
        <w:tc>
          <w:tcPr>
            <w:tcW w:w="425" w:type="dxa"/>
            <w:tcBorders>
              <w:bottom w:val="nil"/>
            </w:tcBorders>
          </w:tcPr>
          <w:p w14:paraId="44DC966C" w14:textId="77777777" w:rsidR="002C2D5C" w:rsidRPr="004B77D6" w:rsidRDefault="002C2D5C" w:rsidP="00C378B2">
            <w:pPr>
              <w:pStyle w:val="Tabletext"/>
              <w:jc w:val="both"/>
              <w:rPr>
                <w:sz w:val="18"/>
                <w:szCs w:val="18"/>
              </w:rPr>
            </w:pPr>
          </w:p>
        </w:tc>
        <w:tc>
          <w:tcPr>
            <w:tcW w:w="2811" w:type="dxa"/>
          </w:tcPr>
          <w:p w14:paraId="5D8392B0" w14:textId="77777777" w:rsidR="002C2D5C" w:rsidRPr="004B77D6" w:rsidRDefault="002C2D5C" w:rsidP="00C378B2">
            <w:pPr>
              <w:pStyle w:val="Tabletext"/>
              <w:jc w:val="both"/>
              <w:rPr>
                <w:sz w:val="18"/>
                <w:szCs w:val="18"/>
              </w:rPr>
            </w:pPr>
            <w:bookmarkStart w:id="12" w:name="Text_ApprovedBy"/>
            <w:r w:rsidRPr="004B77D6">
              <w:rPr>
                <w:sz w:val="18"/>
                <w:szCs w:val="18"/>
              </w:rPr>
              <w:t>Approved by</w:t>
            </w:r>
            <w:bookmarkEnd w:id="12"/>
          </w:p>
        </w:tc>
      </w:tr>
      <w:tr w:rsidR="002C2D5C" w:rsidRPr="004B77D6" w14:paraId="2366D20C" w14:textId="77777777" w:rsidTr="00C378B2">
        <w:tc>
          <w:tcPr>
            <w:tcW w:w="2552" w:type="dxa"/>
          </w:tcPr>
          <w:p w14:paraId="4D38497A" w14:textId="77777777" w:rsidR="002C2D5C" w:rsidRDefault="004A32B8" w:rsidP="00C378B2">
            <w:pPr>
              <w:pStyle w:val="Tabletext"/>
              <w:jc w:val="both"/>
              <w:rPr>
                <w:sz w:val="18"/>
                <w:szCs w:val="18"/>
              </w:rPr>
            </w:pPr>
            <w:r>
              <w:rPr>
                <w:sz w:val="18"/>
                <w:szCs w:val="18"/>
              </w:rPr>
              <w:t>Stephanie Brewer</w:t>
            </w:r>
          </w:p>
          <w:p w14:paraId="6E7A1052" w14:textId="77777777" w:rsidR="004A32B8" w:rsidRDefault="004A32B8" w:rsidP="00C378B2">
            <w:pPr>
              <w:pStyle w:val="Tabletext"/>
              <w:jc w:val="both"/>
              <w:rPr>
                <w:sz w:val="18"/>
                <w:szCs w:val="18"/>
              </w:rPr>
            </w:pPr>
            <w:r>
              <w:rPr>
                <w:sz w:val="18"/>
                <w:szCs w:val="18"/>
              </w:rPr>
              <w:t>Associate Planner</w:t>
            </w:r>
          </w:p>
          <w:p w14:paraId="6EB5E9A5" w14:textId="77777777" w:rsidR="004A32B8" w:rsidRDefault="004A32B8" w:rsidP="00C378B2">
            <w:pPr>
              <w:pStyle w:val="Tabletext"/>
              <w:jc w:val="both"/>
              <w:rPr>
                <w:sz w:val="18"/>
                <w:szCs w:val="18"/>
              </w:rPr>
            </w:pPr>
          </w:p>
          <w:p w14:paraId="3FC3001D" w14:textId="59D9E7BD" w:rsidR="004A32B8" w:rsidRPr="004A32B8" w:rsidRDefault="004A32B8" w:rsidP="004A32B8">
            <w:pPr>
              <w:spacing w:before="0" w:after="0" w:line="240" w:lineRule="auto"/>
              <w:rPr>
                <w:rFonts w:ascii="Segoe UI" w:hAnsi="Segoe UI" w:cs="Segoe UI"/>
                <w:b/>
                <w:bCs/>
                <w:color w:val="auto"/>
                <w:sz w:val="18"/>
                <w:szCs w:val="18"/>
              </w:rPr>
            </w:pPr>
            <w:r>
              <w:rPr>
                <w:sz w:val="18"/>
                <w:szCs w:val="18"/>
              </w:rPr>
              <w:t xml:space="preserve">Angus </w:t>
            </w:r>
            <w:r w:rsidRPr="004A32B8">
              <w:rPr>
                <w:rFonts w:ascii="Segoe UI" w:hAnsi="Segoe UI" w:cs="Segoe UI"/>
                <w:color w:val="auto"/>
                <w:sz w:val="18"/>
                <w:szCs w:val="18"/>
              </w:rPr>
              <w:t>McNeillPeel</w:t>
            </w:r>
          </w:p>
          <w:p w14:paraId="47A1BED8" w14:textId="50D00FA9" w:rsidR="004A32B8" w:rsidRPr="004B77D6" w:rsidRDefault="004A32B8" w:rsidP="00C378B2">
            <w:pPr>
              <w:pStyle w:val="Tabletext"/>
              <w:jc w:val="both"/>
              <w:rPr>
                <w:sz w:val="18"/>
                <w:szCs w:val="18"/>
              </w:rPr>
            </w:pPr>
            <w:r>
              <w:rPr>
                <w:sz w:val="18"/>
                <w:szCs w:val="18"/>
              </w:rPr>
              <w:t>Graduate Planner</w:t>
            </w:r>
          </w:p>
        </w:tc>
        <w:tc>
          <w:tcPr>
            <w:tcW w:w="425" w:type="dxa"/>
            <w:tcBorders>
              <w:top w:val="nil"/>
              <w:bottom w:val="nil"/>
            </w:tcBorders>
          </w:tcPr>
          <w:p w14:paraId="23234667" w14:textId="77777777" w:rsidR="002C2D5C" w:rsidRPr="004B77D6" w:rsidRDefault="002C2D5C" w:rsidP="00C378B2">
            <w:pPr>
              <w:pStyle w:val="Tabletext"/>
              <w:jc w:val="both"/>
              <w:rPr>
                <w:sz w:val="18"/>
                <w:szCs w:val="18"/>
              </w:rPr>
            </w:pPr>
          </w:p>
        </w:tc>
        <w:tc>
          <w:tcPr>
            <w:tcW w:w="2835" w:type="dxa"/>
          </w:tcPr>
          <w:p w14:paraId="2F426F8E" w14:textId="77777777" w:rsidR="00DD26B3" w:rsidRDefault="00DD26B3" w:rsidP="00DD26B3">
            <w:pPr>
              <w:pStyle w:val="Tabletext"/>
              <w:jc w:val="both"/>
              <w:rPr>
                <w:sz w:val="18"/>
                <w:szCs w:val="18"/>
              </w:rPr>
            </w:pPr>
            <w:r>
              <w:rPr>
                <w:sz w:val="18"/>
                <w:szCs w:val="18"/>
              </w:rPr>
              <w:t>Paul Avery</w:t>
            </w:r>
          </w:p>
          <w:p w14:paraId="1B50A068" w14:textId="22BE703B" w:rsidR="00BC6B8A" w:rsidRPr="004B77D6" w:rsidRDefault="00DD26B3" w:rsidP="00DD26B3">
            <w:pPr>
              <w:pStyle w:val="Tabletext"/>
              <w:jc w:val="both"/>
              <w:rPr>
                <w:sz w:val="18"/>
                <w:szCs w:val="18"/>
              </w:rPr>
            </w:pPr>
            <w:r>
              <w:rPr>
                <w:sz w:val="18"/>
                <w:szCs w:val="18"/>
              </w:rPr>
              <w:t>Senior Consultant</w:t>
            </w:r>
          </w:p>
        </w:tc>
        <w:tc>
          <w:tcPr>
            <w:tcW w:w="425" w:type="dxa"/>
            <w:tcBorders>
              <w:top w:val="nil"/>
              <w:bottom w:val="nil"/>
            </w:tcBorders>
          </w:tcPr>
          <w:p w14:paraId="7F267817" w14:textId="77777777" w:rsidR="002C2D5C" w:rsidRPr="004B77D6" w:rsidRDefault="002C2D5C" w:rsidP="00C378B2">
            <w:pPr>
              <w:pStyle w:val="Tabletext"/>
              <w:jc w:val="both"/>
              <w:rPr>
                <w:sz w:val="18"/>
                <w:szCs w:val="18"/>
              </w:rPr>
            </w:pPr>
          </w:p>
        </w:tc>
        <w:tc>
          <w:tcPr>
            <w:tcW w:w="2811" w:type="dxa"/>
          </w:tcPr>
          <w:p w14:paraId="54E97520" w14:textId="77777777" w:rsidR="00BC6B8A" w:rsidRDefault="00DD26B3" w:rsidP="00C378B2">
            <w:pPr>
              <w:pStyle w:val="Tabletext"/>
              <w:jc w:val="both"/>
              <w:rPr>
                <w:sz w:val="18"/>
                <w:szCs w:val="18"/>
              </w:rPr>
            </w:pPr>
            <w:r>
              <w:rPr>
                <w:sz w:val="18"/>
                <w:szCs w:val="18"/>
              </w:rPr>
              <w:t>Paul Avery</w:t>
            </w:r>
          </w:p>
          <w:p w14:paraId="01DA010C" w14:textId="16B91834" w:rsidR="00DD26B3" w:rsidRPr="004B77D6" w:rsidRDefault="00DD26B3" w:rsidP="00C378B2">
            <w:pPr>
              <w:pStyle w:val="Tabletext"/>
              <w:jc w:val="both"/>
              <w:rPr>
                <w:sz w:val="18"/>
                <w:szCs w:val="18"/>
              </w:rPr>
            </w:pPr>
            <w:r>
              <w:rPr>
                <w:sz w:val="18"/>
                <w:szCs w:val="18"/>
              </w:rPr>
              <w:t>Senior Consultant</w:t>
            </w:r>
          </w:p>
        </w:tc>
      </w:tr>
      <w:tr w:rsidR="002C2D5C" w:rsidRPr="004B77D6" w14:paraId="1CF71314" w14:textId="77777777" w:rsidTr="00C378B2">
        <w:tc>
          <w:tcPr>
            <w:tcW w:w="2552" w:type="dxa"/>
          </w:tcPr>
          <w:p w14:paraId="3A94E20A" w14:textId="77777777" w:rsidR="002C2D5C" w:rsidRPr="004B77D6" w:rsidRDefault="002C2D5C" w:rsidP="00C378B2">
            <w:pPr>
              <w:pStyle w:val="Tabletext"/>
              <w:jc w:val="both"/>
              <w:rPr>
                <w:sz w:val="18"/>
                <w:szCs w:val="18"/>
              </w:rPr>
            </w:pPr>
            <w:bookmarkStart w:id="13" w:name="Contact2"/>
            <w:bookmarkEnd w:id="13"/>
          </w:p>
        </w:tc>
        <w:tc>
          <w:tcPr>
            <w:tcW w:w="425" w:type="dxa"/>
            <w:tcBorders>
              <w:top w:val="nil"/>
              <w:bottom w:val="nil"/>
            </w:tcBorders>
          </w:tcPr>
          <w:p w14:paraId="7CB075A4" w14:textId="77777777" w:rsidR="002C2D5C" w:rsidRPr="004B77D6" w:rsidRDefault="002C2D5C" w:rsidP="00C378B2">
            <w:pPr>
              <w:pStyle w:val="Tabletext"/>
              <w:jc w:val="both"/>
              <w:rPr>
                <w:sz w:val="18"/>
                <w:szCs w:val="18"/>
              </w:rPr>
            </w:pPr>
          </w:p>
        </w:tc>
        <w:tc>
          <w:tcPr>
            <w:tcW w:w="2835" w:type="dxa"/>
          </w:tcPr>
          <w:p w14:paraId="189E16E2" w14:textId="77777777" w:rsidR="002C2D5C" w:rsidRPr="004B77D6" w:rsidRDefault="002C2D5C" w:rsidP="00C378B2">
            <w:pPr>
              <w:pStyle w:val="Tabletext"/>
              <w:jc w:val="both"/>
              <w:rPr>
                <w:sz w:val="18"/>
                <w:szCs w:val="18"/>
              </w:rPr>
            </w:pPr>
            <w:bookmarkStart w:id="14" w:name="CheckedBy"/>
            <w:bookmarkEnd w:id="14"/>
          </w:p>
        </w:tc>
        <w:tc>
          <w:tcPr>
            <w:tcW w:w="425" w:type="dxa"/>
            <w:tcBorders>
              <w:top w:val="nil"/>
              <w:bottom w:val="nil"/>
            </w:tcBorders>
          </w:tcPr>
          <w:p w14:paraId="03E08AC9" w14:textId="77777777" w:rsidR="002C2D5C" w:rsidRPr="004B77D6" w:rsidRDefault="002C2D5C" w:rsidP="00C378B2">
            <w:pPr>
              <w:pStyle w:val="Tabletext"/>
              <w:jc w:val="both"/>
              <w:rPr>
                <w:sz w:val="18"/>
                <w:szCs w:val="18"/>
              </w:rPr>
            </w:pPr>
          </w:p>
        </w:tc>
        <w:tc>
          <w:tcPr>
            <w:tcW w:w="2811" w:type="dxa"/>
          </w:tcPr>
          <w:p w14:paraId="5838FAB7" w14:textId="77777777" w:rsidR="002C2D5C" w:rsidRPr="004B77D6" w:rsidRDefault="002C2D5C" w:rsidP="00C378B2">
            <w:pPr>
              <w:pStyle w:val="Tabletext"/>
              <w:jc w:val="both"/>
              <w:rPr>
                <w:sz w:val="18"/>
                <w:szCs w:val="18"/>
              </w:rPr>
            </w:pPr>
            <w:bookmarkStart w:id="15" w:name="ApprovedBy"/>
            <w:bookmarkEnd w:id="15"/>
          </w:p>
        </w:tc>
      </w:tr>
    </w:tbl>
    <w:p w14:paraId="4DA39C83" w14:textId="77777777" w:rsidR="002C2D5C" w:rsidRDefault="002C2D5C" w:rsidP="002C2D5C">
      <w:pPr>
        <w:pStyle w:val="BodyText"/>
        <w:jc w:val="both"/>
      </w:pPr>
    </w:p>
    <w:p w14:paraId="18B83AEA" w14:textId="77777777" w:rsidR="002C2D5C" w:rsidRDefault="002C2D5C" w:rsidP="002C2D5C">
      <w:pPr>
        <w:jc w:val="both"/>
      </w:pPr>
    </w:p>
    <w:p w14:paraId="6EB8D701" w14:textId="77777777" w:rsidR="002C2D5C" w:rsidRDefault="002C2D5C" w:rsidP="002C2D5C">
      <w:pPr>
        <w:pStyle w:val="Heading"/>
        <w:jc w:val="both"/>
      </w:pPr>
      <w:bookmarkStart w:id="16" w:name="Text_RevisionHistory"/>
      <w:r>
        <w:t>Revision History</w:t>
      </w:r>
      <w:bookmarkEnd w:id="16"/>
    </w:p>
    <w:tbl>
      <w:tblPr>
        <w:tblStyle w:val="AECOMtable"/>
        <w:tblW w:w="4950" w:type="pct"/>
        <w:tblLook w:val="04A0" w:firstRow="1" w:lastRow="0" w:firstColumn="1" w:lastColumn="0" w:noHBand="0" w:noVBand="1"/>
      </w:tblPr>
      <w:tblGrid>
        <w:gridCol w:w="1418"/>
        <w:gridCol w:w="1561"/>
        <w:gridCol w:w="1483"/>
        <w:gridCol w:w="1494"/>
        <w:gridCol w:w="1490"/>
        <w:gridCol w:w="1490"/>
      </w:tblGrid>
      <w:tr w:rsidR="002C2D5C" w:rsidRPr="004B77D6" w14:paraId="691E06F2" w14:textId="77777777" w:rsidTr="00832DE0">
        <w:trPr>
          <w:cnfStyle w:val="100000000000" w:firstRow="1" w:lastRow="0" w:firstColumn="0" w:lastColumn="0" w:oddVBand="0" w:evenVBand="0" w:oddHBand="0" w:evenHBand="0" w:firstRowFirstColumn="0" w:firstRowLastColumn="0" w:lastRowFirstColumn="0" w:lastRowLastColumn="0"/>
        </w:trPr>
        <w:tc>
          <w:tcPr>
            <w:tcW w:w="1418" w:type="dxa"/>
          </w:tcPr>
          <w:p w14:paraId="441D43D0" w14:textId="77777777" w:rsidR="002C2D5C" w:rsidRPr="004B77D6" w:rsidRDefault="002C2D5C" w:rsidP="00C378B2">
            <w:pPr>
              <w:pStyle w:val="Tabletext"/>
              <w:jc w:val="both"/>
              <w:rPr>
                <w:sz w:val="18"/>
                <w:szCs w:val="18"/>
              </w:rPr>
            </w:pPr>
            <w:bookmarkStart w:id="17" w:name="Text_Revision"/>
            <w:r w:rsidRPr="004B77D6">
              <w:rPr>
                <w:sz w:val="18"/>
                <w:szCs w:val="18"/>
              </w:rPr>
              <w:t>Revision</w:t>
            </w:r>
            <w:bookmarkEnd w:id="17"/>
          </w:p>
        </w:tc>
        <w:tc>
          <w:tcPr>
            <w:tcW w:w="1561" w:type="dxa"/>
          </w:tcPr>
          <w:p w14:paraId="31BF658B" w14:textId="77777777" w:rsidR="002C2D5C" w:rsidRPr="004B77D6" w:rsidRDefault="002C2D5C" w:rsidP="00C378B2">
            <w:pPr>
              <w:pStyle w:val="Tabletext"/>
              <w:jc w:val="both"/>
              <w:rPr>
                <w:b w:val="0"/>
                <w:sz w:val="18"/>
                <w:szCs w:val="18"/>
              </w:rPr>
            </w:pPr>
            <w:bookmarkStart w:id="18" w:name="Text_RevisionDate"/>
            <w:r w:rsidRPr="004B77D6">
              <w:rPr>
                <w:sz w:val="18"/>
                <w:szCs w:val="18"/>
              </w:rPr>
              <w:t>Revision date</w:t>
            </w:r>
            <w:bookmarkEnd w:id="18"/>
          </w:p>
        </w:tc>
        <w:tc>
          <w:tcPr>
            <w:tcW w:w="1483" w:type="dxa"/>
          </w:tcPr>
          <w:p w14:paraId="16A75D51" w14:textId="77777777" w:rsidR="002C2D5C" w:rsidRPr="004B77D6" w:rsidRDefault="002C2D5C" w:rsidP="00C378B2">
            <w:pPr>
              <w:pStyle w:val="Tabletext"/>
              <w:jc w:val="both"/>
              <w:rPr>
                <w:sz w:val="18"/>
                <w:szCs w:val="18"/>
              </w:rPr>
            </w:pPr>
            <w:bookmarkStart w:id="19" w:name="Text_Details"/>
            <w:r w:rsidRPr="004B77D6">
              <w:rPr>
                <w:sz w:val="18"/>
                <w:szCs w:val="18"/>
              </w:rPr>
              <w:t>Details</w:t>
            </w:r>
            <w:bookmarkEnd w:id="19"/>
          </w:p>
        </w:tc>
        <w:tc>
          <w:tcPr>
            <w:tcW w:w="1494" w:type="dxa"/>
          </w:tcPr>
          <w:p w14:paraId="2DB39B68" w14:textId="77777777" w:rsidR="002C2D5C" w:rsidRPr="004B77D6" w:rsidRDefault="002C2D5C" w:rsidP="00C378B2">
            <w:pPr>
              <w:pStyle w:val="Tabletext"/>
              <w:jc w:val="both"/>
              <w:rPr>
                <w:sz w:val="18"/>
                <w:szCs w:val="18"/>
              </w:rPr>
            </w:pPr>
            <w:bookmarkStart w:id="20" w:name="Text_Authorized"/>
            <w:r w:rsidRPr="004B77D6">
              <w:rPr>
                <w:sz w:val="18"/>
                <w:szCs w:val="18"/>
              </w:rPr>
              <w:t>Authorized</w:t>
            </w:r>
            <w:bookmarkEnd w:id="20"/>
          </w:p>
        </w:tc>
        <w:tc>
          <w:tcPr>
            <w:tcW w:w="1490" w:type="dxa"/>
          </w:tcPr>
          <w:p w14:paraId="5E5DBA59" w14:textId="77777777" w:rsidR="002C2D5C" w:rsidRPr="004B77D6" w:rsidRDefault="002C2D5C" w:rsidP="00C378B2">
            <w:pPr>
              <w:pStyle w:val="Tabletext"/>
              <w:jc w:val="both"/>
              <w:rPr>
                <w:sz w:val="18"/>
                <w:szCs w:val="18"/>
              </w:rPr>
            </w:pPr>
            <w:bookmarkStart w:id="21" w:name="Text_Name"/>
            <w:r w:rsidRPr="004B77D6">
              <w:rPr>
                <w:sz w:val="18"/>
                <w:szCs w:val="18"/>
              </w:rPr>
              <w:t>Name</w:t>
            </w:r>
            <w:bookmarkEnd w:id="21"/>
          </w:p>
        </w:tc>
        <w:tc>
          <w:tcPr>
            <w:tcW w:w="1490" w:type="dxa"/>
          </w:tcPr>
          <w:p w14:paraId="4CC2D2CE" w14:textId="77777777" w:rsidR="002C2D5C" w:rsidRPr="004B77D6" w:rsidRDefault="002C2D5C" w:rsidP="00C378B2">
            <w:pPr>
              <w:pStyle w:val="Tabletext"/>
              <w:jc w:val="both"/>
              <w:rPr>
                <w:sz w:val="18"/>
                <w:szCs w:val="18"/>
              </w:rPr>
            </w:pPr>
            <w:bookmarkStart w:id="22" w:name="Text_Position"/>
            <w:r w:rsidRPr="004B77D6">
              <w:rPr>
                <w:sz w:val="18"/>
                <w:szCs w:val="18"/>
              </w:rPr>
              <w:t>Position</w:t>
            </w:r>
            <w:bookmarkEnd w:id="22"/>
          </w:p>
        </w:tc>
      </w:tr>
      <w:tr w:rsidR="004A32B8" w:rsidRPr="004B77D6" w14:paraId="0183996C" w14:textId="77777777" w:rsidTr="00832DE0">
        <w:tc>
          <w:tcPr>
            <w:tcW w:w="1418" w:type="dxa"/>
          </w:tcPr>
          <w:p w14:paraId="3FFD5126" w14:textId="74B2BAA1" w:rsidR="004A32B8" w:rsidRPr="004B77D6" w:rsidRDefault="004A32B8" w:rsidP="004A32B8">
            <w:pPr>
              <w:pStyle w:val="Tabletext"/>
              <w:jc w:val="both"/>
              <w:rPr>
                <w:sz w:val="18"/>
                <w:szCs w:val="18"/>
              </w:rPr>
            </w:pPr>
            <w:bookmarkStart w:id="23" w:name="RevisionStatus"/>
            <w:bookmarkEnd w:id="23"/>
            <w:r>
              <w:rPr>
                <w:sz w:val="18"/>
                <w:szCs w:val="18"/>
              </w:rPr>
              <w:t>Version 1</w:t>
            </w:r>
          </w:p>
        </w:tc>
        <w:tc>
          <w:tcPr>
            <w:tcW w:w="1561" w:type="dxa"/>
          </w:tcPr>
          <w:p w14:paraId="741EF379" w14:textId="3ED51813" w:rsidR="004A32B8" w:rsidRPr="004A32B8" w:rsidRDefault="00C1436A" w:rsidP="004A32B8">
            <w:pPr>
              <w:pStyle w:val="Tabletext"/>
              <w:jc w:val="both"/>
              <w:rPr>
                <w:color w:val="auto"/>
                <w:sz w:val="18"/>
                <w:szCs w:val="18"/>
                <w:highlight w:val="green"/>
              </w:rPr>
            </w:pPr>
            <w:r>
              <w:rPr>
                <w:color w:val="auto"/>
                <w:sz w:val="18"/>
                <w:szCs w:val="18"/>
              </w:rPr>
              <w:t>1</w:t>
            </w:r>
            <w:r w:rsidR="00746516">
              <w:rPr>
                <w:color w:val="auto"/>
                <w:sz w:val="18"/>
                <w:szCs w:val="18"/>
              </w:rPr>
              <w:t>0</w:t>
            </w:r>
            <w:r w:rsidR="00BC6B8A">
              <w:rPr>
                <w:color w:val="auto"/>
                <w:sz w:val="18"/>
                <w:szCs w:val="18"/>
              </w:rPr>
              <w:t>.</w:t>
            </w:r>
            <w:r w:rsidR="00EF383C" w:rsidRPr="00EF383C">
              <w:rPr>
                <w:color w:val="auto"/>
                <w:sz w:val="18"/>
                <w:szCs w:val="18"/>
              </w:rPr>
              <w:t>02</w:t>
            </w:r>
            <w:r w:rsidR="004A32B8" w:rsidRPr="00EF383C">
              <w:rPr>
                <w:color w:val="auto"/>
                <w:sz w:val="18"/>
                <w:szCs w:val="18"/>
              </w:rPr>
              <w:t>.2021</w:t>
            </w:r>
          </w:p>
        </w:tc>
        <w:tc>
          <w:tcPr>
            <w:tcW w:w="1483" w:type="dxa"/>
          </w:tcPr>
          <w:p w14:paraId="626F4C89" w14:textId="6167FC86" w:rsidR="004A32B8" w:rsidRPr="004B77D6" w:rsidRDefault="004A32B8" w:rsidP="004A32B8">
            <w:pPr>
              <w:pStyle w:val="Tabletext"/>
              <w:jc w:val="both"/>
              <w:rPr>
                <w:sz w:val="18"/>
                <w:szCs w:val="18"/>
              </w:rPr>
            </w:pPr>
            <w:r>
              <w:rPr>
                <w:sz w:val="18"/>
                <w:szCs w:val="18"/>
              </w:rPr>
              <w:t>Draft Report</w:t>
            </w:r>
          </w:p>
        </w:tc>
        <w:tc>
          <w:tcPr>
            <w:tcW w:w="1494" w:type="dxa"/>
          </w:tcPr>
          <w:p w14:paraId="62D80D0B" w14:textId="1F833651" w:rsidR="004A32B8" w:rsidRPr="004B77D6" w:rsidRDefault="004A32B8" w:rsidP="004A32B8">
            <w:pPr>
              <w:pStyle w:val="Tabletext"/>
              <w:jc w:val="both"/>
              <w:rPr>
                <w:sz w:val="18"/>
                <w:szCs w:val="18"/>
              </w:rPr>
            </w:pPr>
            <w:r>
              <w:rPr>
                <w:sz w:val="18"/>
                <w:szCs w:val="18"/>
              </w:rPr>
              <w:t>SB</w:t>
            </w:r>
          </w:p>
        </w:tc>
        <w:tc>
          <w:tcPr>
            <w:tcW w:w="1490" w:type="dxa"/>
          </w:tcPr>
          <w:p w14:paraId="157940B5" w14:textId="09DC9398" w:rsidR="004A32B8" w:rsidRPr="004B77D6" w:rsidRDefault="004A32B8" w:rsidP="004A32B8">
            <w:pPr>
              <w:pStyle w:val="Tabletext"/>
              <w:jc w:val="both"/>
              <w:rPr>
                <w:sz w:val="18"/>
                <w:szCs w:val="18"/>
              </w:rPr>
            </w:pPr>
            <w:r>
              <w:rPr>
                <w:sz w:val="18"/>
                <w:szCs w:val="18"/>
              </w:rPr>
              <w:t>Stephanie Brewer</w:t>
            </w:r>
          </w:p>
        </w:tc>
        <w:tc>
          <w:tcPr>
            <w:tcW w:w="1490" w:type="dxa"/>
          </w:tcPr>
          <w:p w14:paraId="67B40DD5" w14:textId="7ECBFC1C" w:rsidR="004A32B8" w:rsidRPr="004B77D6" w:rsidRDefault="004A32B8" w:rsidP="004A32B8">
            <w:pPr>
              <w:pStyle w:val="Tabletext"/>
              <w:jc w:val="both"/>
              <w:rPr>
                <w:sz w:val="18"/>
                <w:szCs w:val="18"/>
              </w:rPr>
            </w:pPr>
            <w:r>
              <w:rPr>
                <w:sz w:val="18"/>
                <w:szCs w:val="18"/>
              </w:rPr>
              <w:t>Associate Planner</w:t>
            </w:r>
          </w:p>
        </w:tc>
      </w:tr>
      <w:tr w:rsidR="00BC6B8A" w:rsidRPr="004B77D6" w14:paraId="288B221D" w14:textId="77777777" w:rsidTr="00832DE0">
        <w:tc>
          <w:tcPr>
            <w:tcW w:w="1418" w:type="dxa"/>
          </w:tcPr>
          <w:p w14:paraId="30A16D12" w14:textId="418E374E" w:rsidR="00BC6B8A" w:rsidRPr="004B77D6" w:rsidRDefault="00BC6B8A" w:rsidP="00BC6B8A">
            <w:pPr>
              <w:pStyle w:val="Tabletext"/>
              <w:jc w:val="both"/>
              <w:rPr>
                <w:sz w:val="18"/>
                <w:szCs w:val="18"/>
              </w:rPr>
            </w:pPr>
            <w:r>
              <w:rPr>
                <w:sz w:val="18"/>
                <w:szCs w:val="18"/>
              </w:rPr>
              <w:t>Version 2</w:t>
            </w:r>
          </w:p>
        </w:tc>
        <w:tc>
          <w:tcPr>
            <w:tcW w:w="1561" w:type="dxa"/>
          </w:tcPr>
          <w:p w14:paraId="3BE22528" w14:textId="100954A4" w:rsidR="00BC6B8A" w:rsidRPr="004B77D6" w:rsidRDefault="00832DE0" w:rsidP="00BC6B8A">
            <w:pPr>
              <w:pStyle w:val="Tabletext"/>
              <w:jc w:val="both"/>
              <w:rPr>
                <w:sz w:val="18"/>
                <w:szCs w:val="18"/>
              </w:rPr>
            </w:pPr>
            <w:r>
              <w:rPr>
                <w:color w:val="auto"/>
                <w:sz w:val="18"/>
                <w:szCs w:val="18"/>
              </w:rPr>
              <w:t>11</w:t>
            </w:r>
            <w:r w:rsidR="00E70D6C">
              <w:rPr>
                <w:color w:val="auto"/>
                <w:sz w:val="18"/>
                <w:szCs w:val="18"/>
              </w:rPr>
              <w:t>.</w:t>
            </w:r>
            <w:r w:rsidR="00BC6B8A" w:rsidRPr="00EF383C">
              <w:rPr>
                <w:color w:val="auto"/>
                <w:sz w:val="18"/>
                <w:szCs w:val="18"/>
              </w:rPr>
              <w:t>02.2021</w:t>
            </w:r>
          </w:p>
        </w:tc>
        <w:tc>
          <w:tcPr>
            <w:tcW w:w="1483" w:type="dxa"/>
          </w:tcPr>
          <w:p w14:paraId="6DB837CC" w14:textId="6A4CBC93" w:rsidR="00BC6B8A" w:rsidRPr="004B77D6" w:rsidRDefault="00BC6B8A" w:rsidP="00BC6B8A">
            <w:pPr>
              <w:pStyle w:val="Tabletext"/>
              <w:jc w:val="both"/>
              <w:rPr>
                <w:sz w:val="18"/>
                <w:szCs w:val="18"/>
              </w:rPr>
            </w:pPr>
            <w:r>
              <w:rPr>
                <w:sz w:val="18"/>
                <w:szCs w:val="18"/>
              </w:rPr>
              <w:t>Technical Review</w:t>
            </w:r>
          </w:p>
        </w:tc>
        <w:tc>
          <w:tcPr>
            <w:tcW w:w="1494" w:type="dxa"/>
          </w:tcPr>
          <w:p w14:paraId="4F41818C" w14:textId="30DCB841" w:rsidR="00BC6B8A" w:rsidRPr="004B77D6" w:rsidRDefault="00DD26B3" w:rsidP="00BC6B8A">
            <w:pPr>
              <w:pStyle w:val="Tabletext"/>
              <w:jc w:val="both"/>
              <w:rPr>
                <w:sz w:val="18"/>
                <w:szCs w:val="18"/>
              </w:rPr>
            </w:pPr>
            <w:r>
              <w:rPr>
                <w:sz w:val="18"/>
                <w:szCs w:val="18"/>
              </w:rPr>
              <w:t>PA</w:t>
            </w:r>
          </w:p>
        </w:tc>
        <w:tc>
          <w:tcPr>
            <w:tcW w:w="1490" w:type="dxa"/>
          </w:tcPr>
          <w:p w14:paraId="1F13BC31" w14:textId="2415F261" w:rsidR="00BC6B8A" w:rsidRPr="004B77D6" w:rsidRDefault="00DD26B3" w:rsidP="00BC6B8A">
            <w:pPr>
              <w:pStyle w:val="Tabletext"/>
              <w:jc w:val="both"/>
              <w:rPr>
                <w:sz w:val="18"/>
                <w:szCs w:val="18"/>
              </w:rPr>
            </w:pPr>
            <w:r>
              <w:rPr>
                <w:sz w:val="18"/>
                <w:szCs w:val="18"/>
              </w:rPr>
              <w:t>Paul Avery</w:t>
            </w:r>
          </w:p>
        </w:tc>
        <w:tc>
          <w:tcPr>
            <w:tcW w:w="1490" w:type="dxa"/>
          </w:tcPr>
          <w:p w14:paraId="53275F98" w14:textId="5ACA88ED" w:rsidR="00BC6B8A" w:rsidRPr="004B77D6" w:rsidRDefault="00DD26B3" w:rsidP="00BC6B8A">
            <w:pPr>
              <w:pStyle w:val="Tabletext"/>
              <w:jc w:val="both"/>
              <w:rPr>
                <w:sz w:val="18"/>
                <w:szCs w:val="18"/>
              </w:rPr>
            </w:pPr>
            <w:r>
              <w:rPr>
                <w:sz w:val="18"/>
                <w:szCs w:val="18"/>
              </w:rPr>
              <w:t>Senior Consultant</w:t>
            </w:r>
          </w:p>
        </w:tc>
      </w:tr>
      <w:tr w:rsidR="00180DAF" w:rsidRPr="004B77D6" w14:paraId="0F151F30" w14:textId="77777777" w:rsidTr="00832DE0">
        <w:tc>
          <w:tcPr>
            <w:tcW w:w="1418" w:type="dxa"/>
          </w:tcPr>
          <w:p w14:paraId="6E4F4928" w14:textId="2AB3F2DA" w:rsidR="00180DAF" w:rsidRDefault="00180DAF" w:rsidP="00180DAF">
            <w:pPr>
              <w:pStyle w:val="Tabletext"/>
              <w:jc w:val="both"/>
              <w:rPr>
                <w:sz w:val="18"/>
                <w:szCs w:val="18"/>
              </w:rPr>
            </w:pPr>
            <w:r>
              <w:rPr>
                <w:sz w:val="18"/>
                <w:szCs w:val="18"/>
              </w:rPr>
              <w:t>Version 3</w:t>
            </w:r>
          </w:p>
        </w:tc>
        <w:tc>
          <w:tcPr>
            <w:tcW w:w="1561" w:type="dxa"/>
          </w:tcPr>
          <w:p w14:paraId="72B6792A" w14:textId="22FC3EDB" w:rsidR="00180DAF" w:rsidRDefault="00180DAF" w:rsidP="00180DAF">
            <w:pPr>
              <w:pStyle w:val="Tabletext"/>
              <w:jc w:val="both"/>
              <w:rPr>
                <w:color w:val="auto"/>
                <w:sz w:val="18"/>
                <w:szCs w:val="18"/>
              </w:rPr>
            </w:pPr>
            <w:r>
              <w:rPr>
                <w:color w:val="auto"/>
                <w:sz w:val="18"/>
                <w:szCs w:val="18"/>
              </w:rPr>
              <w:t>24.03.2021</w:t>
            </w:r>
          </w:p>
        </w:tc>
        <w:tc>
          <w:tcPr>
            <w:tcW w:w="1483" w:type="dxa"/>
          </w:tcPr>
          <w:p w14:paraId="5D53475A" w14:textId="7A24F94C" w:rsidR="00180DAF" w:rsidRDefault="00180DAF" w:rsidP="00180DAF">
            <w:pPr>
              <w:pStyle w:val="Tabletext"/>
              <w:jc w:val="both"/>
              <w:rPr>
                <w:sz w:val="18"/>
                <w:szCs w:val="18"/>
              </w:rPr>
            </w:pPr>
            <w:r>
              <w:rPr>
                <w:sz w:val="18"/>
                <w:szCs w:val="18"/>
              </w:rPr>
              <w:t>Group Review</w:t>
            </w:r>
          </w:p>
        </w:tc>
        <w:tc>
          <w:tcPr>
            <w:tcW w:w="1494" w:type="dxa"/>
          </w:tcPr>
          <w:p w14:paraId="5EE534B7" w14:textId="2B0809AE" w:rsidR="00180DAF" w:rsidRDefault="00180DAF" w:rsidP="00180DAF">
            <w:pPr>
              <w:pStyle w:val="Tabletext"/>
              <w:jc w:val="both"/>
              <w:rPr>
                <w:sz w:val="18"/>
                <w:szCs w:val="18"/>
              </w:rPr>
            </w:pPr>
            <w:r>
              <w:rPr>
                <w:sz w:val="18"/>
                <w:szCs w:val="18"/>
              </w:rPr>
              <w:t>DN</w:t>
            </w:r>
          </w:p>
        </w:tc>
        <w:tc>
          <w:tcPr>
            <w:tcW w:w="1490" w:type="dxa"/>
          </w:tcPr>
          <w:p w14:paraId="1A243556" w14:textId="4C9F7473" w:rsidR="00180DAF" w:rsidRDefault="00180DAF" w:rsidP="00180DAF">
            <w:pPr>
              <w:pStyle w:val="Tabletext"/>
              <w:rPr>
                <w:sz w:val="18"/>
                <w:szCs w:val="18"/>
              </w:rPr>
            </w:pPr>
            <w:r>
              <w:rPr>
                <w:sz w:val="18"/>
                <w:szCs w:val="18"/>
              </w:rPr>
              <w:t>Cllr. David Northam</w:t>
            </w:r>
          </w:p>
        </w:tc>
        <w:tc>
          <w:tcPr>
            <w:tcW w:w="1490" w:type="dxa"/>
          </w:tcPr>
          <w:p w14:paraId="7A1EEA72" w14:textId="38040972" w:rsidR="00180DAF" w:rsidRDefault="00180DAF" w:rsidP="00180DAF">
            <w:pPr>
              <w:pStyle w:val="Tabletext"/>
              <w:jc w:val="both"/>
              <w:rPr>
                <w:sz w:val="18"/>
                <w:szCs w:val="18"/>
              </w:rPr>
            </w:pPr>
            <w:r>
              <w:rPr>
                <w:sz w:val="18"/>
                <w:szCs w:val="18"/>
              </w:rPr>
              <w:t>Weymouth Town Council Member</w:t>
            </w:r>
          </w:p>
        </w:tc>
      </w:tr>
      <w:tr w:rsidR="00180DAF" w:rsidRPr="004B77D6" w14:paraId="2D632576" w14:textId="77777777" w:rsidTr="00832DE0">
        <w:tc>
          <w:tcPr>
            <w:tcW w:w="1418" w:type="dxa"/>
          </w:tcPr>
          <w:p w14:paraId="44601A23" w14:textId="09B52107" w:rsidR="00180DAF" w:rsidRDefault="00180DAF" w:rsidP="00180DAF">
            <w:pPr>
              <w:pStyle w:val="Tabletext"/>
              <w:jc w:val="both"/>
              <w:rPr>
                <w:sz w:val="18"/>
                <w:szCs w:val="18"/>
              </w:rPr>
            </w:pPr>
            <w:r>
              <w:rPr>
                <w:sz w:val="18"/>
                <w:szCs w:val="18"/>
              </w:rPr>
              <w:t>Version 4</w:t>
            </w:r>
          </w:p>
        </w:tc>
        <w:tc>
          <w:tcPr>
            <w:tcW w:w="1561" w:type="dxa"/>
          </w:tcPr>
          <w:p w14:paraId="35D78828" w14:textId="5D27D117" w:rsidR="00180DAF" w:rsidRDefault="00180DAF" w:rsidP="00180DAF">
            <w:pPr>
              <w:pStyle w:val="Tabletext"/>
              <w:jc w:val="both"/>
              <w:rPr>
                <w:color w:val="auto"/>
                <w:sz w:val="18"/>
                <w:szCs w:val="18"/>
              </w:rPr>
            </w:pPr>
            <w:r>
              <w:rPr>
                <w:color w:val="auto"/>
                <w:sz w:val="18"/>
                <w:szCs w:val="18"/>
              </w:rPr>
              <w:t>25.03.2021</w:t>
            </w:r>
          </w:p>
        </w:tc>
        <w:tc>
          <w:tcPr>
            <w:tcW w:w="1483" w:type="dxa"/>
          </w:tcPr>
          <w:p w14:paraId="288F3F66" w14:textId="547A03A4" w:rsidR="00180DAF" w:rsidRDefault="00180DAF" w:rsidP="00180DAF">
            <w:pPr>
              <w:pStyle w:val="Tabletext"/>
              <w:rPr>
                <w:sz w:val="18"/>
                <w:szCs w:val="18"/>
              </w:rPr>
            </w:pPr>
            <w:r>
              <w:rPr>
                <w:sz w:val="18"/>
                <w:szCs w:val="18"/>
              </w:rPr>
              <w:t>For Locality Review</w:t>
            </w:r>
          </w:p>
        </w:tc>
        <w:tc>
          <w:tcPr>
            <w:tcW w:w="1494" w:type="dxa"/>
          </w:tcPr>
          <w:p w14:paraId="1A7FEFDE" w14:textId="15977849" w:rsidR="00180DAF" w:rsidRDefault="00180DAF" w:rsidP="00180DAF">
            <w:pPr>
              <w:pStyle w:val="Tabletext"/>
              <w:jc w:val="both"/>
              <w:rPr>
                <w:sz w:val="18"/>
                <w:szCs w:val="18"/>
              </w:rPr>
            </w:pPr>
            <w:r>
              <w:rPr>
                <w:sz w:val="18"/>
                <w:szCs w:val="18"/>
              </w:rPr>
              <w:t>SB</w:t>
            </w:r>
          </w:p>
        </w:tc>
        <w:tc>
          <w:tcPr>
            <w:tcW w:w="1490" w:type="dxa"/>
          </w:tcPr>
          <w:p w14:paraId="3921D9E3" w14:textId="6EEE3B18" w:rsidR="00180DAF" w:rsidRDefault="00180DAF" w:rsidP="00180DAF">
            <w:pPr>
              <w:pStyle w:val="Tabletext"/>
              <w:jc w:val="both"/>
              <w:rPr>
                <w:sz w:val="18"/>
                <w:szCs w:val="18"/>
              </w:rPr>
            </w:pPr>
            <w:r>
              <w:rPr>
                <w:sz w:val="18"/>
                <w:szCs w:val="18"/>
              </w:rPr>
              <w:t>Stephanie Brewer</w:t>
            </w:r>
          </w:p>
        </w:tc>
        <w:tc>
          <w:tcPr>
            <w:tcW w:w="1490" w:type="dxa"/>
          </w:tcPr>
          <w:p w14:paraId="62B0A2D1" w14:textId="445DF8DC" w:rsidR="00180DAF" w:rsidRDefault="00180DAF" w:rsidP="00180DAF">
            <w:pPr>
              <w:pStyle w:val="Tabletext"/>
              <w:jc w:val="both"/>
              <w:rPr>
                <w:sz w:val="18"/>
                <w:szCs w:val="18"/>
              </w:rPr>
            </w:pPr>
            <w:r>
              <w:rPr>
                <w:sz w:val="18"/>
                <w:szCs w:val="18"/>
              </w:rPr>
              <w:t>Associate Planner</w:t>
            </w:r>
          </w:p>
        </w:tc>
      </w:tr>
      <w:tr w:rsidR="00511B79" w:rsidRPr="004B77D6" w14:paraId="1AE52D2A" w14:textId="77777777" w:rsidTr="00832DE0">
        <w:tc>
          <w:tcPr>
            <w:tcW w:w="1418" w:type="dxa"/>
          </w:tcPr>
          <w:p w14:paraId="1180F0E2" w14:textId="7A510527" w:rsidR="00511B79" w:rsidRDefault="00511B79" w:rsidP="00511B79">
            <w:pPr>
              <w:pStyle w:val="Tabletext"/>
              <w:jc w:val="both"/>
              <w:rPr>
                <w:sz w:val="18"/>
                <w:szCs w:val="18"/>
              </w:rPr>
            </w:pPr>
            <w:r>
              <w:rPr>
                <w:sz w:val="18"/>
                <w:szCs w:val="18"/>
              </w:rPr>
              <w:t>Version 5</w:t>
            </w:r>
          </w:p>
        </w:tc>
        <w:tc>
          <w:tcPr>
            <w:tcW w:w="1561" w:type="dxa"/>
          </w:tcPr>
          <w:p w14:paraId="1AA5BB4A" w14:textId="113F9EA9" w:rsidR="00511B79" w:rsidRDefault="00511B79" w:rsidP="00511B79">
            <w:pPr>
              <w:pStyle w:val="Tabletext"/>
              <w:jc w:val="both"/>
              <w:rPr>
                <w:color w:val="auto"/>
                <w:sz w:val="18"/>
                <w:szCs w:val="18"/>
              </w:rPr>
            </w:pPr>
            <w:r>
              <w:rPr>
                <w:color w:val="auto"/>
                <w:sz w:val="18"/>
                <w:szCs w:val="18"/>
              </w:rPr>
              <w:t>29.03.2021</w:t>
            </w:r>
          </w:p>
        </w:tc>
        <w:tc>
          <w:tcPr>
            <w:tcW w:w="1483" w:type="dxa"/>
          </w:tcPr>
          <w:p w14:paraId="630EBE4D" w14:textId="50B665AD" w:rsidR="00511B79" w:rsidRDefault="00511B79" w:rsidP="00511B79">
            <w:pPr>
              <w:pStyle w:val="Tabletext"/>
              <w:rPr>
                <w:sz w:val="18"/>
                <w:szCs w:val="18"/>
              </w:rPr>
            </w:pPr>
            <w:r>
              <w:rPr>
                <w:sz w:val="18"/>
                <w:szCs w:val="18"/>
              </w:rPr>
              <w:t>Revised in line with Locality comment</w:t>
            </w:r>
          </w:p>
        </w:tc>
        <w:tc>
          <w:tcPr>
            <w:tcW w:w="1494" w:type="dxa"/>
          </w:tcPr>
          <w:p w14:paraId="47A7878F" w14:textId="0067851A" w:rsidR="00511B79" w:rsidRDefault="00511B79" w:rsidP="00511B79">
            <w:pPr>
              <w:pStyle w:val="Tabletext"/>
              <w:jc w:val="both"/>
              <w:rPr>
                <w:sz w:val="18"/>
                <w:szCs w:val="18"/>
              </w:rPr>
            </w:pPr>
            <w:r>
              <w:rPr>
                <w:sz w:val="18"/>
                <w:szCs w:val="18"/>
              </w:rPr>
              <w:t>PA</w:t>
            </w:r>
          </w:p>
        </w:tc>
        <w:tc>
          <w:tcPr>
            <w:tcW w:w="1490" w:type="dxa"/>
          </w:tcPr>
          <w:p w14:paraId="01084EE5" w14:textId="1E69F576" w:rsidR="00511B79" w:rsidRDefault="00511B79" w:rsidP="00511B79">
            <w:pPr>
              <w:pStyle w:val="Tabletext"/>
              <w:jc w:val="both"/>
              <w:rPr>
                <w:sz w:val="18"/>
                <w:szCs w:val="18"/>
              </w:rPr>
            </w:pPr>
            <w:r>
              <w:rPr>
                <w:sz w:val="18"/>
                <w:szCs w:val="18"/>
              </w:rPr>
              <w:t>Paul Avery</w:t>
            </w:r>
          </w:p>
        </w:tc>
        <w:tc>
          <w:tcPr>
            <w:tcW w:w="1490" w:type="dxa"/>
          </w:tcPr>
          <w:p w14:paraId="36C767C8" w14:textId="61FA807D" w:rsidR="00511B79" w:rsidRDefault="00511B79" w:rsidP="00511B79">
            <w:pPr>
              <w:pStyle w:val="Tabletext"/>
              <w:jc w:val="both"/>
              <w:rPr>
                <w:sz w:val="18"/>
                <w:szCs w:val="18"/>
              </w:rPr>
            </w:pPr>
            <w:r>
              <w:rPr>
                <w:sz w:val="18"/>
                <w:szCs w:val="18"/>
              </w:rPr>
              <w:t>Senior Consultant</w:t>
            </w:r>
          </w:p>
        </w:tc>
      </w:tr>
      <w:tr w:rsidR="00511B79" w:rsidRPr="004B77D6" w14:paraId="0FD25046" w14:textId="77777777" w:rsidTr="00832DE0">
        <w:tc>
          <w:tcPr>
            <w:tcW w:w="1418" w:type="dxa"/>
          </w:tcPr>
          <w:p w14:paraId="097A14C2" w14:textId="622034B8" w:rsidR="00511B79" w:rsidRDefault="00511B79" w:rsidP="00511B79">
            <w:pPr>
              <w:pStyle w:val="Tabletext"/>
              <w:jc w:val="both"/>
              <w:rPr>
                <w:sz w:val="18"/>
                <w:szCs w:val="18"/>
              </w:rPr>
            </w:pPr>
            <w:r>
              <w:rPr>
                <w:sz w:val="18"/>
                <w:szCs w:val="18"/>
              </w:rPr>
              <w:t>Version 6</w:t>
            </w:r>
          </w:p>
        </w:tc>
        <w:tc>
          <w:tcPr>
            <w:tcW w:w="1561" w:type="dxa"/>
          </w:tcPr>
          <w:p w14:paraId="2B7B09A7" w14:textId="0893539C" w:rsidR="00511B79" w:rsidRDefault="00511B79" w:rsidP="00511B79">
            <w:pPr>
              <w:pStyle w:val="Tabletext"/>
              <w:jc w:val="both"/>
              <w:rPr>
                <w:color w:val="auto"/>
                <w:sz w:val="18"/>
                <w:szCs w:val="18"/>
              </w:rPr>
            </w:pPr>
            <w:r>
              <w:rPr>
                <w:color w:val="auto"/>
                <w:sz w:val="18"/>
                <w:szCs w:val="18"/>
              </w:rPr>
              <w:t>01.04.2021</w:t>
            </w:r>
          </w:p>
        </w:tc>
        <w:tc>
          <w:tcPr>
            <w:tcW w:w="1483" w:type="dxa"/>
          </w:tcPr>
          <w:p w14:paraId="2A2E27D5" w14:textId="16FB3635" w:rsidR="00511B79" w:rsidRDefault="00511B79" w:rsidP="00511B79">
            <w:pPr>
              <w:pStyle w:val="Tabletext"/>
              <w:rPr>
                <w:sz w:val="18"/>
                <w:szCs w:val="18"/>
              </w:rPr>
            </w:pPr>
            <w:r>
              <w:rPr>
                <w:sz w:val="18"/>
                <w:szCs w:val="18"/>
              </w:rPr>
              <w:t>Locality Review</w:t>
            </w:r>
          </w:p>
        </w:tc>
        <w:tc>
          <w:tcPr>
            <w:tcW w:w="1494" w:type="dxa"/>
          </w:tcPr>
          <w:p w14:paraId="47BAD9E4" w14:textId="340923A8" w:rsidR="00511B79" w:rsidRDefault="00511B79" w:rsidP="00511B79">
            <w:pPr>
              <w:pStyle w:val="Tabletext"/>
              <w:jc w:val="both"/>
              <w:rPr>
                <w:sz w:val="18"/>
                <w:szCs w:val="18"/>
              </w:rPr>
            </w:pPr>
            <w:r>
              <w:rPr>
                <w:sz w:val="18"/>
                <w:szCs w:val="18"/>
              </w:rPr>
              <w:t>AO</w:t>
            </w:r>
          </w:p>
        </w:tc>
        <w:tc>
          <w:tcPr>
            <w:tcW w:w="1490" w:type="dxa"/>
          </w:tcPr>
          <w:p w14:paraId="6645CC8D" w14:textId="79052C75" w:rsidR="00511B79" w:rsidRDefault="00511B79" w:rsidP="00511B79">
            <w:pPr>
              <w:pStyle w:val="Tabletext"/>
              <w:jc w:val="both"/>
              <w:rPr>
                <w:sz w:val="18"/>
                <w:szCs w:val="18"/>
              </w:rPr>
            </w:pPr>
            <w:r>
              <w:rPr>
                <w:sz w:val="18"/>
                <w:szCs w:val="18"/>
              </w:rPr>
              <w:t>Annabel Osborne</w:t>
            </w:r>
          </w:p>
        </w:tc>
        <w:tc>
          <w:tcPr>
            <w:tcW w:w="1490" w:type="dxa"/>
          </w:tcPr>
          <w:p w14:paraId="1EC53D6D" w14:textId="790564B1" w:rsidR="00511B79" w:rsidRDefault="00511B79" w:rsidP="00511B79">
            <w:pPr>
              <w:pStyle w:val="Tabletext"/>
              <w:jc w:val="both"/>
              <w:rPr>
                <w:sz w:val="18"/>
                <w:szCs w:val="18"/>
              </w:rPr>
            </w:pPr>
            <w:r>
              <w:rPr>
                <w:sz w:val="18"/>
                <w:szCs w:val="18"/>
              </w:rPr>
              <w:t>Locality Neighbourhood Planning Officer</w:t>
            </w:r>
          </w:p>
        </w:tc>
      </w:tr>
      <w:tr w:rsidR="00511B79" w:rsidRPr="004B77D6" w14:paraId="18A0B5BC" w14:textId="77777777" w:rsidTr="00832DE0">
        <w:tc>
          <w:tcPr>
            <w:tcW w:w="1418" w:type="dxa"/>
          </w:tcPr>
          <w:p w14:paraId="111C4B1C" w14:textId="1365E934" w:rsidR="00511B79" w:rsidRDefault="00511B79" w:rsidP="00511B79">
            <w:pPr>
              <w:pStyle w:val="Tabletext"/>
              <w:jc w:val="both"/>
              <w:rPr>
                <w:sz w:val="18"/>
                <w:szCs w:val="18"/>
              </w:rPr>
            </w:pPr>
            <w:r>
              <w:rPr>
                <w:sz w:val="18"/>
                <w:szCs w:val="18"/>
              </w:rPr>
              <w:t>Version 7</w:t>
            </w:r>
          </w:p>
        </w:tc>
        <w:tc>
          <w:tcPr>
            <w:tcW w:w="1561" w:type="dxa"/>
          </w:tcPr>
          <w:p w14:paraId="057A398E" w14:textId="05CF2617" w:rsidR="00511B79" w:rsidRDefault="00511B79" w:rsidP="00511B79">
            <w:pPr>
              <w:pStyle w:val="Tabletext"/>
              <w:jc w:val="both"/>
              <w:rPr>
                <w:color w:val="auto"/>
                <w:sz w:val="18"/>
                <w:szCs w:val="18"/>
              </w:rPr>
            </w:pPr>
            <w:r>
              <w:rPr>
                <w:color w:val="auto"/>
                <w:sz w:val="18"/>
                <w:szCs w:val="18"/>
              </w:rPr>
              <w:t>07.04.2021</w:t>
            </w:r>
          </w:p>
        </w:tc>
        <w:tc>
          <w:tcPr>
            <w:tcW w:w="1483" w:type="dxa"/>
          </w:tcPr>
          <w:p w14:paraId="3CFEC1E5" w14:textId="529AB803" w:rsidR="00511B79" w:rsidRDefault="00511B79" w:rsidP="00511B79">
            <w:pPr>
              <w:pStyle w:val="Tabletext"/>
              <w:rPr>
                <w:sz w:val="18"/>
                <w:szCs w:val="18"/>
              </w:rPr>
            </w:pPr>
            <w:r>
              <w:rPr>
                <w:sz w:val="18"/>
                <w:szCs w:val="18"/>
              </w:rPr>
              <w:t>Final Report</w:t>
            </w:r>
          </w:p>
        </w:tc>
        <w:tc>
          <w:tcPr>
            <w:tcW w:w="1494" w:type="dxa"/>
          </w:tcPr>
          <w:p w14:paraId="146148B5" w14:textId="2F55982E" w:rsidR="00511B79" w:rsidRDefault="00511B79" w:rsidP="00511B79">
            <w:pPr>
              <w:pStyle w:val="Tabletext"/>
              <w:jc w:val="both"/>
              <w:rPr>
                <w:sz w:val="18"/>
                <w:szCs w:val="18"/>
              </w:rPr>
            </w:pPr>
            <w:r>
              <w:rPr>
                <w:sz w:val="18"/>
                <w:szCs w:val="18"/>
              </w:rPr>
              <w:t>SB</w:t>
            </w:r>
          </w:p>
        </w:tc>
        <w:tc>
          <w:tcPr>
            <w:tcW w:w="1490" w:type="dxa"/>
          </w:tcPr>
          <w:p w14:paraId="732F0B69" w14:textId="3C410961" w:rsidR="00511B79" w:rsidRDefault="00511B79" w:rsidP="00511B79">
            <w:pPr>
              <w:pStyle w:val="Tabletext"/>
              <w:jc w:val="both"/>
              <w:rPr>
                <w:sz w:val="18"/>
                <w:szCs w:val="18"/>
              </w:rPr>
            </w:pPr>
            <w:r>
              <w:rPr>
                <w:sz w:val="18"/>
                <w:szCs w:val="18"/>
              </w:rPr>
              <w:t>Stephanie Brewer</w:t>
            </w:r>
          </w:p>
        </w:tc>
        <w:tc>
          <w:tcPr>
            <w:tcW w:w="1490" w:type="dxa"/>
          </w:tcPr>
          <w:p w14:paraId="6ED5BC2B" w14:textId="60D23BD4" w:rsidR="00511B79" w:rsidRDefault="00511B79" w:rsidP="00511B79">
            <w:pPr>
              <w:pStyle w:val="Tabletext"/>
              <w:jc w:val="both"/>
              <w:rPr>
                <w:sz w:val="18"/>
                <w:szCs w:val="18"/>
              </w:rPr>
            </w:pPr>
            <w:r>
              <w:rPr>
                <w:sz w:val="18"/>
                <w:szCs w:val="18"/>
              </w:rPr>
              <w:t>Associate Planner</w:t>
            </w:r>
          </w:p>
        </w:tc>
      </w:tr>
      <w:tr w:rsidR="00511B79" w:rsidRPr="004B77D6" w14:paraId="4F93BEBB" w14:textId="77777777" w:rsidTr="00832DE0">
        <w:tc>
          <w:tcPr>
            <w:tcW w:w="1418" w:type="dxa"/>
            <w:tcBorders>
              <w:bottom w:val="nil"/>
            </w:tcBorders>
          </w:tcPr>
          <w:p w14:paraId="7CA8687B" w14:textId="77777777" w:rsidR="00511B79" w:rsidRPr="004B77D6" w:rsidRDefault="00511B79" w:rsidP="00511B79">
            <w:pPr>
              <w:pStyle w:val="Tabletext"/>
              <w:jc w:val="both"/>
              <w:rPr>
                <w:sz w:val="18"/>
                <w:szCs w:val="18"/>
              </w:rPr>
            </w:pPr>
          </w:p>
        </w:tc>
        <w:tc>
          <w:tcPr>
            <w:tcW w:w="1561" w:type="dxa"/>
            <w:tcBorders>
              <w:bottom w:val="nil"/>
            </w:tcBorders>
          </w:tcPr>
          <w:p w14:paraId="63BD2E7E" w14:textId="77777777" w:rsidR="00511B79" w:rsidRPr="004B77D6" w:rsidRDefault="00511B79" w:rsidP="00511B79">
            <w:pPr>
              <w:pStyle w:val="Tabletext"/>
              <w:jc w:val="both"/>
              <w:rPr>
                <w:sz w:val="18"/>
                <w:szCs w:val="18"/>
              </w:rPr>
            </w:pPr>
          </w:p>
        </w:tc>
        <w:tc>
          <w:tcPr>
            <w:tcW w:w="1483" w:type="dxa"/>
            <w:tcBorders>
              <w:bottom w:val="nil"/>
            </w:tcBorders>
          </w:tcPr>
          <w:p w14:paraId="6BAD82B2" w14:textId="77777777" w:rsidR="00511B79" w:rsidRPr="004B77D6" w:rsidRDefault="00511B79" w:rsidP="00511B79">
            <w:pPr>
              <w:pStyle w:val="Tabletext"/>
              <w:jc w:val="both"/>
              <w:rPr>
                <w:sz w:val="18"/>
                <w:szCs w:val="18"/>
              </w:rPr>
            </w:pPr>
          </w:p>
        </w:tc>
        <w:tc>
          <w:tcPr>
            <w:tcW w:w="1494" w:type="dxa"/>
            <w:tcBorders>
              <w:bottom w:val="nil"/>
            </w:tcBorders>
          </w:tcPr>
          <w:p w14:paraId="7A7BC838" w14:textId="77777777" w:rsidR="00511B79" w:rsidRPr="004B77D6" w:rsidRDefault="00511B79" w:rsidP="00511B79">
            <w:pPr>
              <w:pStyle w:val="Tabletext"/>
              <w:jc w:val="both"/>
              <w:rPr>
                <w:sz w:val="18"/>
                <w:szCs w:val="18"/>
              </w:rPr>
            </w:pPr>
          </w:p>
        </w:tc>
        <w:tc>
          <w:tcPr>
            <w:tcW w:w="1490" w:type="dxa"/>
            <w:tcBorders>
              <w:bottom w:val="nil"/>
            </w:tcBorders>
          </w:tcPr>
          <w:p w14:paraId="79BCF95C" w14:textId="77777777" w:rsidR="00511B79" w:rsidRPr="004B77D6" w:rsidRDefault="00511B79" w:rsidP="00511B79">
            <w:pPr>
              <w:pStyle w:val="Tabletext"/>
              <w:jc w:val="both"/>
              <w:rPr>
                <w:sz w:val="18"/>
                <w:szCs w:val="18"/>
              </w:rPr>
            </w:pPr>
          </w:p>
        </w:tc>
        <w:tc>
          <w:tcPr>
            <w:tcW w:w="1490" w:type="dxa"/>
            <w:tcBorders>
              <w:bottom w:val="nil"/>
            </w:tcBorders>
          </w:tcPr>
          <w:p w14:paraId="61B749B6" w14:textId="77777777" w:rsidR="00511B79" w:rsidRPr="004B77D6" w:rsidRDefault="00511B79" w:rsidP="00511B79">
            <w:pPr>
              <w:pStyle w:val="Tabletext"/>
              <w:jc w:val="both"/>
              <w:rPr>
                <w:sz w:val="18"/>
                <w:szCs w:val="18"/>
              </w:rPr>
            </w:pPr>
          </w:p>
        </w:tc>
      </w:tr>
      <w:tr w:rsidR="00511B79" w:rsidRPr="004B77D6" w14:paraId="0C28654C" w14:textId="77777777" w:rsidTr="00832DE0">
        <w:tc>
          <w:tcPr>
            <w:tcW w:w="1418" w:type="dxa"/>
            <w:tcBorders>
              <w:top w:val="nil"/>
              <w:bottom w:val="nil"/>
            </w:tcBorders>
          </w:tcPr>
          <w:p w14:paraId="7208F02F" w14:textId="77777777" w:rsidR="00511B79" w:rsidRPr="004B77D6" w:rsidRDefault="00511B79" w:rsidP="00511B79">
            <w:pPr>
              <w:pStyle w:val="Tabletext"/>
              <w:jc w:val="both"/>
              <w:rPr>
                <w:sz w:val="18"/>
                <w:szCs w:val="18"/>
              </w:rPr>
            </w:pPr>
          </w:p>
        </w:tc>
        <w:tc>
          <w:tcPr>
            <w:tcW w:w="1561" w:type="dxa"/>
            <w:tcBorders>
              <w:top w:val="nil"/>
              <w:bottom w:val="nil"/>
            </w:tcBorders>
          </w:tcPr>
          <w:p w14:paraId="5BF33CA0" w14:textId="77777777" w:rsidR="00511B79" w:rsidRPr="004B77D6" w:rsidRDefault="00511B79" w:rsidP="00511B79">
            <w:pPr>
              <w:pStyle w:val="Tabletext"/>
              <w:jc w:val="both"/>
              <w:rPr>
                <w:sz w:val="18"/>
                <w:szCs w:val="18"/>
              </w:rPr>
            </w:pPr>
          </w:p>
        </w:tc>
        <w:tc>
          <w:tcPr>
            <w:tcW w:w="1483" w:type="dxa"/>
            <w:tcBorders>
              <w:top w:val="nil"/>
              <w:bottom w:val="nil"/>
            </w:tcBorders>
          </w:tcPr>
          <w:p w14:paraId="1D69A237" w14:textId="77777777" w:rsidR="00511B79" w:rsidRPr="004B77D6" w:rsidRDefault="00511B79" w:rsidP="00511B79">
            <w:pPr>
              <w:pStyle w:val="Tabletext"/>
              <w:jc w:val="both"/>
              <w:rPr>
                <w:sz w:val="18"/>
                <w:szCs w:val="18"/>
              </w:rPr>
            </w:pPr>
          </w:p>
        </w:tc>
        <w:tc>
          <w:tcPr>
            <w:tcW w:w="1494" w:type="dxa"/>
            <w:tcBorders>
              <w:top w:val="nil"/>
              <w:bottom w:val="nil"/>
            </w:tcBorders>
          </w:tcPr>
          <w:p w14:paraId="7880D485" w14:textId="77777777" w:rsidR="00511B79" w:rsidRPr="004B77D6" w:rsidRDefault="00511B79" w:rsidP="00511B79">
            <w:pPr>
              <w:pStyle w:val="Tabletext"/>
              <w:jc w:val="both"/>
              <w:rPr>
                <w:sz w:val="18"/>
                <w:szCs w:val="18"/>
              </w:rPr>
            </w:pPr>
          </w:p>
        </w:tc>
        <w:tc>
          <w:tcPr>
            <w:tcW w:w="1490" w:type="dxa"/>
            <w:tcBorders>
              <w:top w:val="nil"/>
              <w:bottom w:val="nil"/>
            </w:tcBorders>
          </w:tcPr>
          <w:p w14:paraId="0165E988" w14:textId="77777777" w:rsidR="00511B79" w:rsidRPr="004B77D6" w:rsidRDefault="00511B79" w:rsidP="00511B79">
            <w:pPr>
              <w:pStyle w:val="Tabletext"/>
              <w:jc w:val="both"/>
              <w:rPr>
                <w:sz w:val="18"/>
                <w:szCs w:val="18"/>
              </w:rPr>
            </w:pPr>
          </w:p>
        </w:tc>
        <w:tc>
          <w:tcPr>
            <w:tcW w:w="1490" w:type="dxa"/>
            <w:tcBorders>
              <w:top w:val="nil"/>
              <w:bottom w:val="nil"/>
            </w:tcBorders>
          </w:tcPr>
          <w:p w14:paraId="3DBCB995" w14:textId="77777777" w:rsidR="00511B79" w:rsidRPr="004B77D6" w:rsidRDefault="00511B79" w:rsidP="00511B79">
            <w:pPr>
              <w:pStyle w:val="Tabletext"/>
              <w:jc w:val="both"/>
              <w:rPr>
                <w:sz w:val="18"/>
                <w:szCs w:val="18"/>
              </w:rPr>
            </w:pPr>
          </w:p>
        </w:tc>
      </w:tr>
    </w:tbl>
    <w:p w14:paraId="04C2BD39" w14:textId="77777777" w:rsidR="002C2D5C" w:rsidRPr="004B77D6" w:rsidRDefault="002C2D5C" w:rsidP="002C2D5C">
      <w:pPr>
        <w:jc w:val="both"/>
        <w:rPr>
          <w:sz w:val="18"/>
          <w:szCs w:val="18"/>
        </w:rPr>
      </w:pPr>
    </w:p>
    <w:p w14:paraId="3DE1F86B" w14:textId="77777777" w:rsidR="002C2D5C" w:rsidRDefault="002C2D5C" w:rsidP="002C2D5C">
      <w:pPr>
        <w:jc w:val="both"/>
      </w:pPr>
    </w:p>
    <w:p w14:paraId="2103EA01" w14:textId="77777777" w:rsidR="002C2D5C" w:rsidRDefault="002C2D5C" w:rsidP="002C2D5C">
      <w:pPr>
        <w:jc w:val="both"/>
      </w:pPr>
    </w:p>
    <w:p w14:paraId="2E34E6A1" w14:textId="77777777" w:rsidR="002C2D5C" w:rsidRDefault="002C2D5C" w:rsidP="002C2D5C">
      <w:pPr>
        <w:jc w:val="both"/>
      </w:pPr>
      <w:r>
        <w:br w:type="page"/>
      </w:r>
    </w:p>
    <w:p w14:paraId="3E808628" w14:textId="77777777" w:rsidR="002C2D5C" w:rsidRDefault="002C2D5C" w:rsidP="002C2D5C">
      <w:pPr>
        <w:pStyle w:val="BodyText"/>
        <w:jc w:val="both"/>
      </w:pPr>
    </w:p>
    <w:p w14:paraId="63A773F0" w14:textId="77777777" w:rsidR="002C2D5C" w:rsidRPr="008952D6" w:rsidRDefault="002C2D5C" w:rsidP="002C2D5C">
      <w:pPr>
        <w:pStyle w:val="Heading"/>
        <w:jc w:val="both"/>
      </w:pPr>
      <w:bookmarkStart w:id="24" w:name="Text_PreparedFor"/>
      <w:r>
        <w:t>Prepared for</w:t>
      </w:r>
      <w:bookmarkEnd w:id="24"/>
      <w:r w:rsidRPr="008952D6">
        <w:t>:</w:t>
      </w:r>
    </w:p>
    <w:p w14:paraId="2A179C00" w14:textId="0F77A0F1" w:rsidR="002C2D5C" w:rsidRDefault="002C2D5C" w:rsidP="002C2D5C">
      <w:pPr>
        <w:jc w:val="both"/>
      </w:pPr>
      <w:r w:rsidRPr="00BF4E4C">
        <w:fldChar w:fldCharType="begin"/>
      </w:r>
      <w:r w:rsidRPr="00BF4E4C">
        <w:instrText xml:space="preserve"> DOCPROPERTY  ClientName \* MERGEFORMAT </w:instrText>
      </w:r>
      <w:r w:rsidRPr="00BF4E4C">
        <w:fldChar w:fldCharType="end"/>
      </w:r>
      <w:bookmarkStart w:id="25" w:name="FooterClientAddress"/>
      <w:bookmarkEnd w:id="25"/>
      <w:r w:rsidR="004A32B8">
        <w:t>Weymouth Town Council</w:t>
      </w:r>
    </w:p>
    <w:p w14:paraId="66C86F5C" w14:textId="77777777" w:rsidR="002C2D5C" w:rsidRPr="00BF4E4C" w:rsidRDefault="002C2D5C" w:rsidP="002C2D5C">
      <w:pPr>
        <w:jc w:val="both"/>
      </w:pPr>
    </w:p>
    <w:p w14:paraId="32650194" w14:textId="77777777" w:rsidR="002C2D5C" w:rsidRDefault="002C2D5C" w:rsidP="002C2D5C">
      <w:pPr>
        <w:pStyle w:val="Heading"/>
        <w:jc w:val="both"/>
      </w:pPr>
      <w:bookmarkStart w:id="26" w:name="Text_PreparedBy_1"/>
      <w:r>
        <w:t>Prepared by</w:t>
      </w:r>
      <w:bookmarkEnd w:id="26"/>
      <w:r>
        <w:t>:</w:t>
      </w:r>
      <w:bookmarkStart w:id="27" w:name="Contact1"/>
    </w:p>
    <w:p w14:paraId="67FA467B" w14:textId="0889EC62" w:rsidR="002C2D5C" w:rsidRDefault="002C2D5C" w:rsidP="002C2D5C">
      <w:pPr>
        <w:jc w:val="both"/>
      </w:pPr>
      <w:bookmarkStart w:id="28" w:name="OfficeAddress1"/>
      <w:bookmarkEnd w:id="27"/>
      <w:r>
        <w:t>AECOM</w:t>
      </w:r>
    </w:p>
    <w:p w14:paraId="076ED3F9" w14:textId="77777777" w:rsidR="002C2D5C" w:rsidRDefault="002C2D5C" w:rsidP="002C2D5C">
      <w:pPr>
        <w:spacing w:before="0" w:after="0"/>
        <w:jc w:val="both"/>
      </w:pPr>
      <w:r>
        <w:t>Aldgate Tower</w:t>
      </w:r>
    </w:p>
    <w:p w14:paraId="41C6B187" w14:textId="77777777" w:rsidR="002C2D5C" w:rsidRDefault="002C2D5C" w:rsidP="002C2D5C">
      <w:pPr>
        <w:spacing w:before="0" w:after="0"/>
        <w:jc w:val="both"/>
      </w:pPr>
      <w:r>
        <w:t>2 Leman Street</w:t>
      </w:r>
    </w:p>
    <w:p w14:paraId="7E95591D" w14:textId="77777777" w:rsidR="002C2D5C" w:rsidRDefault="002C2D5C" w:rsidP="002C2D5C">
      <w:pPr>
        <w:spacing w:before="0" w:after="0"/>
        <w:jc w:val="both"/>
      </w:pPr>
      <w:r>
        <w:t>London</w:t>
      </w:r>
    </w:p>
    <w:p w14:paraId="42889BE8" w14:textId="77777777" w:rsidR="002C2D5C" w:rsidRPr="00DF5BCB" w:rsidRDefault="002C2D5C" w:rsidP="002C2D5C">
      <w:pPr>
        <w:spacing w:before="0" w:after="0"/>
        <w:jc w:val="both"/>
        <w:rPr>
          <w:lang w:val="de-DE"/>
        </w:rPr>
      </w:pPr>
      <w:r w:rsidRPr="00DF5BCB">
        <w:rPr>
          <w:lang w:val="de-DE"/>
        </w:rPr>
        <w:t>E1 8FA</w:t>
      </w:r>
    </w:p>
    <w:p w14:paraId="0DD1DC31" w14:textId="13AD3699" w:rsidR="002C2D5C" w:rsidRPr="00DF5BCB" w:rsidRDefault="002C2D5C" w:rsidP="002C2D5C">
      <w:pPr>
        <w:spacing w:before="0" w:after="0"/>
        <w:jc w:val="both"/>
        <w:rPr>
          <w:lang w:val="de-DE"/>
        </w:rPr>
      </w:pPr>
      <w:r w:rsidRPr="00DF5BCB">
        <w:rPr>
          <w:lang w:val="de-DE"/>
        </w:rPr>
        <w:t>aecom.com</w:t>
      </w:r>
      <w:bookmarkEnd w:id="28"/>
    </w:p>
    <w:p w14:paraId="77144712" w14:textId="0B605E41" w:rsidR="008B066F" w:rsidRPr="00DF5BCB" w:rsidRDefault="008B066F" w:rsidP="002C2D5C">
      <w:pPr>
        <w:spacing w:before="0" w:after="0"/>
        <w:jc w:val="both"/>
        <w:rPr>
          <w:lang w:val="de-DE"/>
        </w:rPr>
      </w:pPr>
    </w:p>
    <w:p w14:paraId="560C708D" w14:textId="77777777" w:rsidR="008B066F" w:rsidRPr="00DF5BCB" w:rsidRDefault="008B066F" w:rsidP="002C2D5C">
      <w:pPr>
        <w:spacing w:before="0" w:after="0"/>
        <w:jc w:val="both"/>
        <w:rPr>
          <w:lang w:val="de-DE"/>
        </w:rPr>
      </w:pPr>
    </w:p>
    <w:p w14:paraId="46F8ED29" w14:textId="77777777" w:rsidR="002C2D5C" w:rsidRPr="00DF5BCB" w:rsidRDefault="002C2D5C" w:rsidP="002C2D5C">
      <w:pPr>
        <w:pStyle w:val="BodyText"/>
        <w:jc w:val="both"/>
        <w:rPr>
          <w:lang w:val="de-DE"/>
        </w:rPr>
      </w:pPr>
    </w:p>
    <w:p w14:paraId="56AF21EC" w14:textId="77777777" w:rsidR="002C2D5C" w:rsidRPr="00DF5BCB" w:rsidRDefault="002C2D5C" w:rsidP="002C2D5C">
      <w:pPr>
        <w:pStyle w:val="BodyText"/>
        <w:jc w:val="both"/>
        <w:rPr>
          <w:lang w:val="de-DE"/>
        </w:rPr>
      </w:pPr>
    </w:p>
    <w:p w14:paraId="17B54762" w14:textId="77777777" w:rsidR="002C2D5C" w:rsidRPr="00DF5BCB" w:rsidRDefault="002C2D5C" w:rsidP="002C2D5C">
      <w:pPr>
        <w:pStyle w:val="BodyText"/>
        <w:jc w:val="both"/>
        <w:rPr>
          <w:lang w:val="de-DE"/>
        </w:rPr>
      </w:pPr>
    </w:p>
    <w:p w14:paraId="20803C9E" w14:textId="77777777" w:rsidR="002C2D5C" w:rsidRPr="00DF5BCB" w:rsidRDefault="002C2D5C" w:rsidP="002C2D5C">
      <w:pPr>
        <w:pStyle w:val="BodyText"/>
        <w:jc w:val="both"/>
        <w:rPr>
          <w:lang w:val="de-DE"/>
        </w:rPr>
      </w:pPr>
    </w:p>
    <w:p w14:paraId="72A22DD8" w14:textId="77777777" w:rsidR="002C2D5C" w:rsidRPr="00DF5BCB" w:rsidRDefault="002C2D5C" w:rsidP="002C2D5C">
      <w:pPr>
        <w:pStyle w:val="BodyText"/>
        <w:jc w:val="both"/>
        <w:rPr>
          <w:lang w:val="de-DE"/>
        </w:rPr>
      </w:pPr>
    </w:p>
    <w:p w14:paraId="52C5BD5D" w14:textId="77777777" w:rsidR="002C2D5C" w:rsidRPr="00DF5BCB" w:rsidRDefault="002C2D5C" w:rsidP="002C2D5C">
      <w:pPr>
        <w:pStyle w:val="BodyText"/>
        <w:jc w:val="both"/>
        <w:rPr>
          <w:lang w:val="de-DE"/>
        </w:rPr>
      </w:pPr>
    </w:p>
    <w:p w14:paraId="06FE8968" w14:textId="77777777" w:rsidR="002C2D5C" w:rsidRPr="00DF5BCB" w:rsidRDefault="002C2D5C" w:rsidP="002C2D5C">
      <w:pPr>
        <w:pStyle w:val="BodyText"/>
        <w:jc w:val="both"/>
        <w:rPr>
          <w:lang w:val="de-DE"/>
        </w:rPr>
      </w:pPr>
    </w:p>
    <w:p w14:paraId="6DEA0E7B" w14:textId="77777777" w:rsidR="002C2D5C" w:rsidRPr="00DF5BCB" w:rsidRDefault="002C2D5C" w:rsidP="002C2D5C">
      <w:pPr>
        <w:pStyle w:val="BodyText"/>
        <w:jc w:val="both"/>
        <w:rPr>
          <w:lang w:val="de-DE"/>
        </w:rPr>
      </w:pPr>
    </w:p>
    <w:p w14:paraId="473A6B43" w14:textId="77777777" w:rsidR="002C2D5C" w:rsidRPr="00DF5BCB" w:rsidRDefault="002C2D5C" w:rsidP="002C2D5C">
      <w:pPr>
        <w:pStyle w:val="BodyText"/>
        <w:jc w:val="both"/>
        <w:rPr>
          <w:lang w:val="de-DE"/>
        </w:rPr>
      </w:pPr>
    </w:p>
    <w:p w14:paraId="2731B671" w14:textId="77777777" w:rsidR="002C2D5C" w:rsidRPr="00DF5BCB" w:rsidRDefault="002C2D5C" w:rsidP="002C2D5C">
      <w:pPr>
        <w:pStyle w:val="BodyText"/>
        <w:jc w:val="both"/>
        <w:rPr>
          <w:lang w:val="de-DE"/>
        </w:rPr>
      </w:pPr>
    </w:p>
    <w:p w14:paraId="3930E35E" w14:textId="77777777" w:rsidR="002C2D5C" w:rsidRPr="00DF5BCB" w:rsidRDefault="002C2D5C" w:rsidP="002C2D5C">
      <w:pPr>
        <w:pStyle w:val="BodyText"/>
        <w:jc w:val="both"/>
        <w:rPr>
          <w:lang w:val="de-DE"/>
        </w:rPr>
      </w:pPr>
    </w:p>
    <w:p w14:paraId="0B6D2487" w14:textId="77777777" w:rsidR="002C2D5C" w:rsidRPr="00DF5BCB" w:rsidRDefault="002C2D5C" w:rsidP="002C2D5C">
      <w:pPr>
        <w:pStyle w:val="BodyText"/>
        <w:jc w:val="both"/>
        <w:rPr>
          <w:lang w:val="de-DE"/>
        </w:rPr>
      </w:pPr>
    </w:p>
    <w:p w14:paraId="751F007E" w14:textId="6C6DB783" w:rsidR="002C2D5C" w:rsidRPr="0036321E" w:rsidRDefault="002C2D5C" w:rsidP="002C2D5C">
      <w:pPr>
        <w:pStyle w:val="BodyText"/>
        <w:jc w:val="both"/>
      </w:pPr>
      <w:bookmarkStart w:id="29" w:name="Copyright"/>
      <w:r w:rsidRPr="00DF5BCB">
        <w:rPr>
          <w:lang w:val="de-DE"/>
        </w:rPr>
        <w:t>© 20</w:t>
      </w:r>
      <w:r w:rsidR="00F06D67" w:rsidRPr="00DF5BCB">
        <w:rPr>
          <w:lang w:val="de-DE"/>
        </w:rPr>
        <w:t>2</w:t>
      </w:r>
      <w:r w:rsidR="004A32B8" w:rsidRPr="00DF5BCB">
        <w:rPr>
          <w:lang w:val="de-DE"/>
        </w:rPr>
        <w:t>1</w:t>
      </w:r>
      <w:r w:rsidRPr="00DF5BCB">
        <w:rPr>
          <w:lang w:val="de-DE"/>
        </w:rPr>
        <w:t xml:space="preserve"> AECOM. </w:t>
      </w:r>
      <w:r w:rsidRPr="0036321E">
        <w:t xml:space="preserve">All Rights Reserved.  </w:t>
      </w:r>
      <w:bookmarkEnd w:id="29"/>
    </w:p>
    <w:p w14:paraId="4162DD7B" w14:textId="77262475" w:rsidR="002C2D5C" w:rsidRDefault="002C2D5C" w:rsidP="002C2D5C">
      <w:pPr>
        <w:jc w:val="both"/>
        <w:rPr>
          <w:lang w:val="en-US"/>
        </w:rPr>
      </w:pPr>
      <w:r w:rsidRPr="0036321E">
        <w:rPr>
          <w:lang w:val="en-US"/>
        </w:rPr>
        <w:t>This document has been prepared by AECOM Limited (“AECOM”) in accordance with its contract with Locality (the “Client”) and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AECOM shall have no liability to any third party that makes use of or relies upon this document.</w:t>
      </w:r>
    </w:p>
    <w:p w14:paraId="0D51A121" w14:textId="4A2D67AF" w:rsidR="008B066F" w:rsidRDefault="008B066F" w:rsidP="002C2D5C">
      <w:pPr>
        <w:jc w:val="both"/>
        <w:rPr>
          <w:lang w:val="en-US"/>
        </w:rPr>
      </w:pPr>
    </w:p>
    <w:p w14:paraId="08C7ACFB" w14:textId="35FD235F" w:rsidR="008B066F" w:rsidRDefault="008B066F" w:rsidP="008B066F">
      <w:pPr>
        <w:spacing w:before="0" w:after="0"/>
        <w:jc w:val="both"/>
      </w:pPr>
      <w:r w:rsidRPr="008B066F">
        <w:t>Source of frontpage image:</w:t>
      </w:r>
      <w:r>
        <w:t xml:space="preserve"> Weymouth Town Council Website</w:t>
      </w:r>
    </w:p>
    <w:p w14:paraId="08D78D55" w14:textId="77777777" w:rsidR="002C2D5C" w:rsidRDefault="002C2D5C" w:rsidP="002C2D5C">
      <w:pPr>
        <w:jc w:val="both"/>
        <w:rPr>
          <w:lang w:val="en-US"/>
        </w:rPr>
      </w:pPr>
    </w:p>
    <w:p w14:paraId="50559A98" w14:textId="77777777" w:rsidR="002C2D5C" w:rsidRDefault="002C2D5C" w:rsidP="002C2D5C">
      <w:pPr>
        <w:pStyle w:val="Default"/>
        <w:pBdr>
          <w:top w:val="single" w:sz="4" w:space="1" w:color="auto"/>
          <w:left w:val="single" w:sz="4" w:space="4" w:color="auto"/>
          <w:bottom w:val="single" w:sz="4" w:space="1" w:color="auto"/>
          <w:right w:val="single" w:sz="4" w:space="4" w:color="auto"/>
        </w:pBdr>
        <w:jc w:val="both"/>
        <w:rPr>
          <w:sz w:val="18"/>
          <w:szCs w:val="18"/>
        </w:rPr>
      </w:pPr>
      <w:r>
        <w:rPr>
          <w:b/>
          <w:bCs/>
          <w:sz w:val="18"/>
          <w:szCs w:val="18"/>
        </w:rPr>
        <w:t xml:space="preserve">Disclaimer </w:t>
      </w:r>
    </w:p>
    <w:p w14:paraId="7F189334" w14:textId="46B81AE1" w:rsidR="002C2D5C" w:rsidRPr="00445AF7" w:rsidRDefault="002C2D5C" w:rsidP="002C2D5C">
      <w:pPr>
        <w:pBdr>
          <w:top w:val="single" w:sz="4" w:space="1" w:color="auto"/>
          <w:left w:val="single" w:sz="4" w:space="4" w:color="auto"/>
          <w:bottom w:val="single" w:sz="4" w:space="1" w:color="auto"/>
          <w:right w:val="single" w:sz="4" w:space="4" w:color="auto"/>
        </w:pBdr>
        <w:jc w:val="both"/>
        <w:rPr>
          <w:lang w:val="en-US"/>
        </w:rPr>
      </w:pPr>
      <w:r>
        <w:t>This document is intended to aid the preparation of the Neighbourhood Plan, and can be used to guide decision making and as evidence to support Plan polici</w:t>
      </w:r>
      <w:r w:rsidR="00A50BD6">
        <w:t>es, if the Qualifying Body (</w:t>
      </w:r>
      <w:r>
        <w:t xml:space="preserve">i.e. the neighbourhood planning group) so chooses. It is not a neighbourhood plan policy document. It is a ‘snapshot’ in time and may become superseded by more recent information. The </w:t>
      </w:r>
      <w:r w:rsidR="00A50BD6">
        <w:t>Qualifying Body</w:t>
      </w:r>
      <w:r>
        <w:t xml:space="preserve"> is not bound to accept its conclusions. If any party can demonstrate that any of the evidence presented herein is inaccurate or out of date, such evidence can be presented to the </w:t>
      </w:r>
      <w:r w:rsidR="00A50BD6">
        <w:t>Qualifying Body</w:t>
      </w:r>
      <w:r>
        <w:t xml:space="preserve"> at the consultation stage. Where evidence from elsewhere conflicts with this report, the </w:t>
      </w:r>
      <w:r w:rsidR="00A50BD6">
        <w:t xml:space="preserve">Qualifying Body </w:t>
      </w:r>
      <w:r>
        <w:t>should decide what policy position to take in the Neighbourhood Plan and that judgement should be documented so that it can be defended at the Examination stage.</w:t>
      </w:r>
    </w:p>
    <w:p w14:paraId="6CD437DC" w14:textId="77777777" w:rsidR="002C2D5C" w:rsidRDefault="002C2D5C" w:rsidP="002C2D5C">
      <w:pPr>
        <w:pStyle w:val="BodyText"/>
        <w:jc w:val="both"/>
      </w:pPr>
    </w:p>
    <w:p w14:paraId="246FEA6F" w14:textId="77777777" w:rsidR="002C2D5C" w:rsidRPr="0036321E" w:rsidRDefault="002C2D5C" w:rsidP="002C2D5C">
      <w:pPr>
        <w:jc w:val="both"/>
        <w:rPr>
          <w:lang w:val="en-US"/>
        </w:rPr>
      </w:pPr>
    </w:p>
    <w:p w14:paraId="7481735F" w14:textId="77777777" w:rsidR="002C2D5C" w:rsidRDefault="002C2D5C" w:rsidP="002C2D5C">
      <w:pPr>
        <w:jc w:val="both"/>
      </w:pPr>
      <w:r>
        <w:br w:type="page"/>
      </w:r>
    </w:p>
    <w:p w14:paraId="55600DBE" w14:textId="77777777" w:rsidR="002C2D5C" w:rsidRPr="004764AA" w:rsidRDefault="002C2D5C" w:rsidP="002C2D5C">
      <w:pPr>
        <w:pStyle w:val="TOCHeading"/>
        <w:jc w:val="both"/>
        <w:rPr>
          <w:noProof/>
          <w:color w:val="auto"/>
        </w:rPr>
      </w:pPr>
      <w:bookmarkStart w:id="30" w:name="Text_Contents"/>
      <w:bookmarkStart w:id="31" w:name="TOC"/>
      <w:r w:rsidRPr="004764AA">
        <w:rPr>
          <w:noProof/>
          <w:color w:val="auto"/>
        </w:rPr>
        <w:t>Table of Contents</w:t>
      </w:r>
      <w:bookmarkEnd w:id="30"/>
      <w:r w:rsidRPr="004764AA">
        <w:rPr>
          <w:noProof/>
          <w:color w:val="auto"/>
        </w:rPr>
        <w:t xml:space="preserve"> </w:t>
      </w:r>
    </w:p>
    <w:p w14:paraId="7E694A09" w14:textId="19930E11" w:rsidR="004764AA" w:rsidRPr="004764AA" w:rsidRDefault="002C2D5C">
      <w:pPr>
        <w:pStyle w:val="TOC1"/>
        <w:rPr>
          <w:rFonts w:asciiTheme="minorHAnsi" w:eastAsiaTheme="minorEastAsia" w:hAnsiTheme="minorHAnsi" w:cstheme="minorBidi"/>
          <w:noProof/>
          <w:color w:val="auto"/>
          <w:sz w:val="22"/>
        </w:rPr>
      </w:pPr>
      <w:r w:rsidRPr="004764AA">
        <w:rPr>
          <w:noProof/>
          <w:color w:val="auto"/>
        </w:rPr>
        <w:fldChar w:fldCharType="begin"/>
      </w:r>
      <w:r w:rsidRPr="004764AA">
        <w:rPr>
          <w:noProof/>
          <w:color w:val="auto"/>
        </w:rPr>
        <w:instrText xml:space="preserve"> TOC \o "1-4" \z \u </w:instrText>
      </w:r>
      <w:r w:rsidRPr="004764AA">
        <w:rPr>
          <w:noProof/>
          <w:color w:val="auto"/>
        </w:rPr>
        <w:fldChar w:fldCharType="separate"/>
      </w:r>
      <w:r w:rsidR="004764AA" w:rsidRPr="004764AA">
        <w:rPr>
          <w:noProof/>
          <w:color w:val="auto"/>
          <w:lang w:val="en-US"/>
        </w:rPr>
        <w:t>1.</w:t>
      </w:r>
      <w:r w:rsidR="004764AA" w:rsidRPr="004764AA">
        <w:rPr>
          <w:rFonts w:asciiTheme="minorHAnsi" w:eastAsiaTheme="minorEastAsia" w:hAnsiTheme="minorHAnsi" w:cstheme="minorBidi"/>
          <w:noProof/>
          <w:color w:val="auto"/>
          <w:sz w:val="22"/>
        </w:rPr>
        <w:tab/>
      </w:r>
      <w:r w:rsidR="004764AA" w:rsidRPr="004764AA">
        <w:rPr>
          <w:noProof/>
          <w:color w:val="auto"/>
          <w:lang w:val="en-US"/>
        </w:rPr>
        <w:t>Executive Summary</w:t>
      </w:r>
      <w:r w:rsidR="004764AA" w:rsidRPr="004764AA">
        <w:rPr>
          <w:noProof/>
          <w:webHidden/>
          <w:color w:val="auto"/>
        </w:rPr>
        <w:tab/>
      </w:r>
      <w:r w:rsidR="004764AA" w:rsidRPr="004764AA">
        <w:rPr>
          <w:noProof/>
          <w:webHidden/>
          <w:color w:val="auto"/>
        </w:rPr>
        <w:fldChar w:fldCharType="begin"/>
      </w:r>
      <w:r w:rsidR="004764AA" w:rsidRPr="004764AA">
        <w:rPr>
          <w:noProof/>
          <w:webHidden/>
          <w:color w:val="auto"/>
        </w:rPr>
        <w:instrText xml:space="preserve"> PAGEREF _Toc64026766 \h </w:instrText>
      </w:r>
      <w:r w:rsidR="004764AA" w:rsidRPr="004764AA">
        <w:rPr>
          <w:noProof/>
          <w:webHidden/>
          <w:color w:val="auto"/>
        </w:rPr>
      </w:r>
      <w:r w:rsidR="004764AA" w:rsidRPr="004764AA">
        <w:rPr>
          <w:noProof/>
          <w:webHidden/>
          <w:color w:val="auto"/>
        </w:rPr>
        <w:fldChar w:fldCharType="separate"/>
      </w:r>
      <w:r w:rsidR="004764AA" w:rsidRPr="004764AA">
        <w:rPr>
          <w:noProof/>
          <w:webHidden/>
          <w:color w:val="auto"/>
        </w:rPr>
        <w:t>7</w:t>
      </w:r>
      <w:r w:rsidR="004764AA" w:rsidRPr="004764AA">
        <w:rPr>
          <w:noProof/>
          <w:webHidden/>
          <w:color w:val="auto"/>
        </w:rPr>
        <w:fldChar w:fldCharType="end"/>
      </w:r>
    </w:p>
    <w:p w14:paraId="284A4464" w14:textId="004732C4"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1.1</w:t>
      </w:r>
      <w:r w:rsidRPr="004764AA">
        <w:rPr>
          <w:rFonts w:asciiTheme="minorHAnsi" w:eastAsiaTheme="minorEastAsia" w:hAnsiTheme="minorHAnsi" w:cstheme="minorBidi"/>
          <w:noProof/>
          <w:color w:val="auto"/>
          <w:sz w:val="22"/>
        </w:rPr>
        <w:tab/>
      </w:r>
      <w:r w:rsidRPr="004764AA">
        <w:rPr>
          <w:noProof/>
          <w:color w:val="auto"/>
        </w:rPr>
        <w:t>Tenure and Affordability</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_Toc64026767 \h </w:instrText>
      </w:r>
      <w:r w:rsidRPr="004764AA">
        <w:rPr>
          <w:noProof/>
          <w:webHidden/>
          <w:color w:val="auto"/>
        </w:rPr>
      </w:r>
      <w:r w:rsidRPr="004764AA">
        <w:rPr>
          <w:noProof/>
          <w:webHidden/>
          <w:color w:val="auto"/>
        </w:rPr>
        <w:fldChar w:fldCharType="separate"/>
      </w:r>
      <w:r w:rsidRPr="004764AA">
        <w:rPr>
          <w:noProof/>
          <w:webHidden/>
          <w:color w:val="auto"/>
        </w:rPr>
        <w:t>7</w:t>
      </w:r>
      <w:r w:rsidRPr="004764AA">
        <w:rPr>
          <w:noProof/>
          <w:webHidden/>
          <w:color w:val="auto"/>
        </w:rPr>
        <w:fldChar w:fldCharType="end"/>
      </w:r>
    </w:p>
    <w:p w14:paraId="442E7364" w14:textId="0DAB1EA8"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1.1.1</w:t>
      </w:r>
      <w:r w:rsidRPr="004764AA">
        <w:rPr>
          <w:rFonts w:asciiTheme="minorHAnsi" w:eastAsiaTheme="minorEastAsia" w:hAnsiTheme="minorHAnsi" w:cstheme="minorBidi"/>
          <w:noProof/>
          <w:color w:val="auto"/>
          <w:sz w:val="22"/>
        </w:rPr>
        <w:tab/>
      </w:r>
      <w:r w:rsidRPr="004764AA">
        <w:rPr>
          <w:noProof/>
          <w:color w:val="auto"/>
        </w:rPr>
        <w:t>Affordability Issues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_Toc64026768 \h </w:instrText>
      </w:r>
      <w:r w:rsidRPr="004764AA">
        <w:rPr>
          <w:noProof/>
          <w:webHidden/>
          <w:color w:val="auto"/>
        </w:rPr>
      </w:r>
      <w:r w:rsidRPr="004764AA">
        <w:rPr>
          <w:noProof/>
          <w:webHidden/>
          <w:color w:val="auto"/>
        </w:rPr>
        <w:fldChar w:fldCharType="separate"/>
      </w:r>
      <w:r w:rsidRPr="004764AA">
        <w:rPr>
          <w:noProof/>
          <w:webHidden/>
          <w:color w:val="auto"/>
        </w:rPr>
        <w:t>7</w:t>
      </w:r>
      <w:r w:rsidRPr="004764AA">
        <w:rPr>
          <w:noProof/>
          <w:webHidden/>
          <w:color w:val="auto"/>
        </w:rPr>
        <w:fldChar w:fldCharType="end"/>
      </w:r>
    </w:p>
    <w:p w14:paraId="450D8C9C" w14:textId="603568DF"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1.1.2</w:t>
      </w:r>
      <w:r w:rsidRPr="004764AA">
        <w:rPr>
          <w:rFonts w:asciiTheme="minorHAnsi" w:eastAsiaTheme="minorEastAsia" w:hAnsiTheme="minorHAnsi" w:cstheme="minorBidi"/>
          <w:noProof/>
          <w:color w:val="auto"/>
          <w:sz w:val="22"/>
        </w:rPr>
        <w:tab/>
      </w:r>
      <w:r w:rsidRPr="004764AA">
        <w:rPr>
          <w:noProof/>
          <w:color w:val="auto"/>
        </w:rPr>
        <w:t>Tenure Profile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_Toc64026769 \h </w:instrText>
      </w:r>
      <w:r w:rsidRPr="004764AA">
        <w:rPr>
          <w:noProof/>
          <w:webHidden/>
          <w:color w:val="auto"/>
        </w:rPr>
      </w:r>
      <w:r w:rsidRPr="004764AA">
        <w:rPr>
          <w:noProof/>
          <w:webHidden/>
          <w:color w:val="auto"/>
        </w:rPr>
        <w:fldChar w:fldCharType="separate"/>
      </w:r>
      <w:r w:rsidRPr="004764AA">
        <w:rPr>
          <w:noProof/>
          <w:webHidden/>
          <w:color w:val="auto"/>
        </w:rPr>
        <w:t>7</w:t>
      </w:r>
      <w:r w:rsidRPr="004764AA">
        <w:rPr>
          <w:noProof/>
          <w:webHidden/>
          <w:color w:val="auto"/>
        </w:rPr>
        <w:fldChar w:fldCharType="end"/>
      </w:r>
    </w:p>
    <w:p w14:paraId="33D808E0" w14:textId="601E9E33"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1.1.3</w:t>
      </w:r>
      <w:r w:rsidRPr="004764AA">
        <w:rPr>
          <w:rFonts w:asciiTheme="minorHAnsi" w:eastAsiaTheme="minorEastAsia" w:hAnsiTheme="minorHAnsi" w:cstheme="minorBidi"/>
          <w:noProof/>
          <w:color w:val="auto"/>
          <w:sz w:val="22"/>
        </w:rPr>
        <w:tab/>
      </w:r>
      <w:r w:rsidRPr="004764AA">
        <w:rPr>
          <w:noProof/>
          <w:color w:val="auto"/>
        </w:rPr>
        <w:t>Affordable Housing Need</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_Toc64026771 \h </w:instrText>
      </w:r>
      <w:r w:rsidRPr="004764AA">
        <w:rPr>
          <w:noProof/>
          <w:webHidden/>
          <w:color w:val="auto"/>
        </w:rPr>
      </w:r>
      <w:r w:rsidRPr="004764AA">
        <w:rPr>
          <w:noProof/>
          <w:webHidden/>
          <w:color w:val="auto"/>
        </w:rPr>
        <w:fldChar w:fldCharType="separate"/>
      </w:r>
      <w:r w:rsidRPr="004764AA">
        <w:rPr>
          <w:noProof/>
          <w:webHidden/>
          <w:color w:val="auto"/>
        </w:rPr>
        <w:t>7</w:t>
      </w:r>
      <w:r w:rsidRPr="004764AA">
        <w:rPr>
          <w:noProof/>
          <w:webHidden/>
          <w:color w:val="auto"/>
        </w:rPr>
        <w:fldChar w:fldCharType="end"/>
      </w:r>
    </w:p>
    <w:p w14:paraId="01D948CE" w14:textId="71E39DBE"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1.1.4</w:t>
      </w:r>
      <w:r w:rsidRPr="004764AA">
        <w:rPr>
          <w:rFonts w:asciiTheme="minorHAnsi" w:eastAsiaTheme="minorEastAsia" w:hAnsiTheme="minorHAnsi" w:cstheme="minorBidi"/>
          <w:noProof/>
          <w:color w:val="auto"/>
          <w:sz w:val="22"/>
        </w:rPr>
        <w:tab/>
      </w:r>
      <w:r w:rsidRPr="004764AA">
        <w:rPr>
          <w:noProof/>
          <w:color w:val="auto"/>
        </w:rPr>
        <w:t>Policy Considerations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_Toc64026772 \h </w:instrText>
      </w:r>
      <w:r w:rsidRPr="004764AA">
        <w:rPr>
          <w:noProof/>
          <w:webHidden/>
          <w:color w:val="auto"/>
        </w:rPr>
      </w:r>
      <w:r w:rsidRPr="004764AA">
        <w:rPr>
          <w:noProof/>
          <w:webHidden/>
          <w:color w:val="auto"/>
        </w:rPr>
        <w:fldChar w:fldCharType="separate"/>
      </w:r>
      <w:r w:rsidRPr="004764AA">
        <w:rPr>
          <w:noProof/>
          <w:webHidden/>
          <w:color w:val="auto"/>
        </w:rPr>
        <w:t>8</w:t>
      </w:r>
      <w:r w:rsidRPr="004764AA">
        <w:rPr>
          <w:noProof/>
          <w:webHidden/>
          <w:color w:val="auto"/>
        </w:rPr>
        <w:fldChar w:fldCharType="end"/>
      </w:r>
    </w:p>
    <w:p w14:paraId="07CAA8A2" w14:textId="4D9ED46F"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1.2</w:t>
      </w:r>
      <w:r w:rsidRPr="004764AA">
        <w:rPr>
          <w:rFonts w:asciiTheme="minorHAnsi" w:eastAsiaTheme="minorEastAsia" w:hAnsiTheme="minorHAnsi" w:cstheme="minorBidi"/>
          <w:noProof/>
          <w:color w:val="auto"/>
          <w:sz w:val="22"/>
        </w:rPr>
        <w:tab/>
      </w:r>
      <w:r w:rsidRPr="004764AA">
        <w:rPr>
          <w:noProof/>
          <w:color w:val="auto"/>
        </w:rPr>
        <w:t>Type and Size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_Toc64026773 \h </w:instrText>
      </w:r>
      <w:r w:rsidRPr="004764AA">
        <w:rPr>
          <w:noProof/>
          <w:webHidden/>
          <w:color w:val="auto"/>
        </w:rPr>
      </w:r>
      <w:r w:rsidRPr="004764AA">
        <w:rPr>
          <w:noProof/>
          <w:webHidden/>
          <w:color w:val="auto"/>
        </w:rPr>
        <w:fldChar w:fldCharType="separate"/>
      </w:r>
      <w:r w:rsidRPr="004764AA">
        <w:rPr>
          <w:noProof/>
          <w:webHidden/>
          <w:color w:val="auto"/>
        </w:rPr>
        <w:t>9</w:t>
      </w:r>
      <w:r w:rsidRPr="004764AA">
        <w:rPr>
          <w:noProof/>
          <w:webHidden/>
          <w:color w:val="auto"/>
        </w:rPr>
        <w:fldChar w:fldCharType="end"/>
      </w:r>
    </w:p>
    <w:p w14:paraId="04B3FF43" w14:textId="4B4F9199"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1.2.1</w:t>
      </w:r>
      <w:r w:rsidRPr="004764AA">
        <w:rPr>
          <w:rFonts w:asciiTheme="minorHAnsi" w:eastAsiaTheme="minorEastAsia" w:hAnsiTheme="minorHAnsi" w:cstheme="minorBidi"/>
          <w:noProof/>
          <w:color w:val="auto"/>
          <w:sz w:val="22"/>
        </w:rPr>
        <w:tab/>
      </w:r>
      <w:r w:rsidRPr="004764AA">
        <w:rPr>
          <w:noProof/>
          <w:color w:val="auto"/>
        </w:rPr>
        <w:t>Existing Housing Stock</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_Toc64026774 \h </w:instrText>
      </w:r>
      <w:r w:rsidRPr="004764AA">
        <w:rPr>
          <w:noProof/>
          <w:webHidden/>
          <w:color w:val="auto"/>
        </w:rPr>
      </w:r>
      <w:r w:rsidRPr="004764AA">
        <w:rPr>
          <w:noProof/>
          <w:webHidden/>
          <w:color w:val="auto"/>
        </w:rPr>
        <w:fldChar w:fldCharType="separate"/>
      </w:r>
      <w:r w:rsidRPr="004764AA">
        <w:rPr>
          <w:noProof/>
          <w:webHidden/>
          <w:color w:val="auto"/>
        </w:rPr>
        <w:t>9</w:t>
      </w:r>
      <w:r w:rsidRPr="004764AA">
        <w:rPr>
          <w:noProof/>
          <w:webHidden/>
          <w:color w:val="auto"/>
        </w:rPr>
        <w:fldChar w:fldCharType="end"/>
      </w:r>
    </w:p>
    <w:p w14:paraId="08545E7D" w14:textId="6BC14562"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1.2.2</w:t>
      </w:r>
      <w:r w:rsidRPr="004764AA">
        <w:rPr>
          <w:rFonts w:asciiTheme="minorHAnsi" w:eastAsiaTheme="minorEastAsia" w:hAnsiTheme="minorHAnsi" w:cstheme="minorBidi"/>
          <w:noProof/>
          <w:color w:val="auto"/>
          <w:sz w:val="22"/>
        </w:rPr>
        <w:tab/>
      </w:r>
      <w:r w:rsidRPr="004764AA">
        <w:rPr>
          <w:noProof/>
          <w:color w:val="auto"/>
        </w:rPr>
        <w:t>Demographics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_Toc64026776 \h </w:instrText>
      </w:r>
      <w:r w:rsidRPr="004764AA">
        <w:rPr>
          <w:noProof/>
          <w:webHidden/>
          <w:color w:val="auto"/>
        </w:rPr>
      </w:r>
      <w:r w:rsidRPr="004764AA">
        <w:rPr>
          <w:noProof/>
          <w:webHidden/>
          <w:color w:val="auto"/>
        </w:rPr>
        <w:fldChar w:fldCharType="separate"/>
      </w:r>
      <w:r w:rsidRPr="004764AA">
        <w:rPr>
          <w:noProof/>
          <w:webHidden/>
          <w:color w:val="auto"/>
        </w:rPr>
        <w:t>9</w:t>
      </w:r>
      <w:r w:rsidRPr="004764AA">
        <w:rPr>
          <w:noProof/>
          <w:webHidden/>
          <w:color w:val="auto"/>
        </w:rPr>
        <w:fldChar w:fldCharType="end"/>
      </w:r>
    </w:p>
    <w:p w14:paraId="27B98BA0" w14:textId="67955204"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1.2.3</w:t>
      </w:r>
      <w:r w:rsidRPr="004764AA">
        <w:rPr>
          <w:rFonts w:asciiTheme="minorHAnsi" w:eastAsiaTheme="minorEastAsia" w:hAnsiTheme="minorHAnsi" w:cstheme="minorBidi"/>
          <w:noProof/>
          <w:color w:val="auto"/>
          <w:sz w:val="22"/>
        </w:rPr>
        <w:tab/>
      </w:r>
      <w:r w:rsidRPr="004764AA">
        <w:rPr>
          <w:noProof/>
          <w:color w:val="auto"/>
        </w:rPr>
        <w:t>Future Requirements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_Toc64026777 \h </w:instrText>
      </w:r>
      <w:r w:rsidRPr="004764AA">
        <w:rPr>
          <w:noProof/>
          <w:webHidden/>
          <w:color w:val="auto"/>
        </w:rPr>
      </w:r>
      <w:r w:rsidRPr="004764AA">
        <w:rPr>
          <w:noProof/>
          <w:webHidden/>
          <w:color w:val="auto"/>
        </w:rPr>
        <w:fldChar w:fldCharType="separate"/>
      </w:r>
      <w:r w:rsidRPr="004764AA">
        <w:rPr>
          <w:noProof/>
          <w:webHidden/>
          <w:color w:val="auto"/>
        </w:rPr>
        <w:t>9</w:t>
      </w:r>
      <w:r w:rsidRPr="004764AA">
        <w:rPr>
          <w:noProof/>
          <w:webHidden/>
          <w:color w:val="auto"/>
        </w:rPr>
        <w:fldChar w:fldCharType="end"/>
      </w:r>
    </w:p>
    <w:p w14:paraId="142E3E21" w14:textId="7DBDE9EA"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1.3</w:t>
      </w:r>
      <w:r w:rsidRPr="004764AA">
        <w:rPr>
          <w:rFonts w:asciiTheme="minorHAnsi" w:eastAsiaTheme="minorEastAsia" w:hAnsiTheme="minorHAnsi" w:cstheme="minorBidi"/>
          <w:noProof/>
          <w:color w:val="auto"/>
          <w:sz w:val="22"/>
        </w:rPr>
        <w:tab/>
      </w:r>
      <w:r w:rsidRPr="004764AA">
        <w:rPr>
          <w:noProof/>
          <w:color w:val="auto"/>
          <w:shd w:val="clear" w:color="auto" w:fill="FFFFFF"/>
        </w:rPr>
        <w:t>Specialist Housing for Older People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_Toc64026779 \h </w:instrText>
      </w:r>
      <w:r w:rsidRPr="004764AA">
        <w:rPr>
          <w:noProof/>
          <w:webHidden/>
          <w:color w:val="auto"/>
        </w:rPr>
      </w:r>
      <w:r w:rsidRPr="004764AA">
        <w:rPr>
          <w:noProof/>
          <w:webHidden/>
          <w:color w:val="auto"/>
        </w:rPr>
        <w:fldChar w:fldCharType="separate"/>
      </w:r>
      <w:r w:rsidRPr="004764AA">
        <w:rPr>
          <w:noProof/>
          <w:webHidden/>
          <w:color w:val="auto"/>
        </w:rPr>
        <w:t>10</w:t>
      </w:r>
      <w:r w:rsidRPr="004764AA">
        <w:rPr>
          <w:noProof/>
          <w:webHidden/>
          <w:color w:val="auto"/>
        </w:rPr>
        <w:fldChar w:fldCharType="end"/>
      </w:r>
    </w:p>
    <w:p w14:paraId="4D122761" w14:textId="23DB74DE" w:rsidR="004764AA" w:rsidRPr="004764AA" w:rsidRDefault="004764AA">
      <w:pPr>
        <w:pStyle w:val="TOC1"/>
        <w:rPr>
          <w:rFonts w:asciiTheme="minorHAnsi" w:eastAsiaTheme="minorEastAsia" w:hAnsiTheme="minorHAnsi" w:cstheme="minorBidi"/>
          <w:noProof/>
          <w:color w:val="auto"/>
          <w:sz w:val="22"/>
        </w:rPr>
      </w:pPr>
      <w:r w:rsidRPr="004764AA">
        <w:rPr>
          <w:noProof/>
          <w:color w:val="auto"/>
          <w:lang w:val="en-US"/>
        </w:rPr>
        <w:t>2.</w:t>
      </w:r>
      <w:r w:rsidRPr="004764AA">
        <w:rPr>
          <w:rFonts w:asciiTheme="minorHAnsi" w:eastAsiaTheme="minorEastAsia" w:hAnsiTheme="minorHAnsi" w:cstheme="minorBidi"/>
          <w:noProof/>
          <w:color w:val="auto"/>
          <w:sz w:val="22"/>
        </w:rPr>
        <w:tab/>
      </w:r>
      <w:r w:rsidRPr="004764AA">
        <w:rPr>
          <w:noProof/>
          <w:color w:val="auto"/>
          <w:lang w:val="en-US"/>
        </w:rPr>
        <w:t>Context</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_Toc64026780 \h </w:instrText>
      </w:r>
      <w:r w:rsidRPr="004764AA">
        <w:rPr>
          <w:noProof/>
          <w:webHidden/>
          <w:color w:val="auto"/>
        </w:rPr>
      </w:r>
      <w:r w:rsidRPr="004764AA">
        <w:rPr>
          <w:noProof/>
          <w:webHidden/>
          <w:color w:val="auto"/>
        </w:rPr>
        <w:fldChar w:fldCharType="separate"/>
      </w:r>
      <w:r w:rsidRPr="004764AA">
        <w:rPr>
          <w:noProof/>
          <w:webHidden/>
          <w:color w:val="auto"/>
        </w:rPr>
        <w:t>11</w:t>
      </w:r>
      <w:r w:rsidRPr="004764AA">
        <w:rPr>
          <w:noProof/>
          <w:webHidden/>
          <w:color w:val="auto"/>
        </w:rPr>
        <w:fldChar w:fldCharType="end"/>
      </w:r>
    </w:p>
    <w:p w14:paraId="4C7D9CF3" w14:textId="6AE4B517"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2.1</w:t>
      </w:r>
      <w:r w:rsidRPr="004764AA">
        <w:rPr>
          <w:rFonts w:asciiTheme="minorHAnsi" w:eastAsiaTheme="minorEastAsia" w:hAnsiTheme="minorHAnsi" w:cstheme="minorBidi"/>
          <w:noProof/>
          <w:color w:val="auto"/>
          <w:sz w:val="22"/>
        </w:rPr>
        <w:tab/>
      </w:r>
      <w:r w:rsidRPr="004764AA">
        <w:rPr>
          <w:noProof/>
          <w:color w:val="auto"/>
        </w:rPr>
        <w:t>Local context</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_Toc64026781 \h </w:instrText>
      </w:r>
      <w:r w:rsidRPr="004764AA">
        <w:rPr>
          <w:noProof/>
          <w:webHidden/>
          <w:color w:val="auto"/>
        </w:rPr>
      </w:r>
      <w:r w:rsidRPr="004764AA">
        <w:rPr>
          <w:noProof/>
          <w:webHidden/>
          <w:color w:val="auto"/>
        </w:rPr>
        <w:fldChar w:fldCharType="separate"/>
      </w:r>
      <w:r w:rsidRPr="004764AA">
        <w:rPr>
          <w:noProof/>
          <w:webHidden/>
          <w:color w:val="auto"/>
        </w:rPr>
        <w:t>11</w:t>
      </w:r>
      <w:r w:rsidRPr="004764AA">
        <w:rPr>
          <w:noProof/>
          <w:webHidden/>
          <w:color w:val="auto"/>
        </w:rPr>
        <w:fldChar w:fldCharType="end"/>
      </w:r>
    </w:p>
    <w:p w14:paraId="09FAFD3C" w14:textId="74F17D5C"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2.2</w:t>
      </w:r>
      <w:r w:rsidRPr="004764AA">
        <w:rPr>
          <w:rFonts w:asciiTheme="minorHAnsi" w:eastAsiaTheme="minorEastAsia" w:hAnsiTheme="minorHAnsi" w:cstheme="minorBidi"/>
          <w:noProof/>
          <w:color w:val="auto"/>
          <w:sz w:val="22"/>
        </w:rPr>
        <w:tab/>
      </w:r>
      <w:r w:rsidRPr="004764AA">
        <w:rPr>
          <w:noProof/>
          <w:color w:val="auto"/>
        </w:rPr>
        <w:t>Planning policy context</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_Toc64026782 \h </w:instrText>
      </w:r>
      <w:r w:rsidRPr="004764AA">
        <w:rPr>
          <w:noProof/>
          <w:webHidden/>
          <w:color w:val="auto"/>
        </w:rPr>
      </w:r>
      <w:r w:rsidRPr="004764AA">
        <w:rPr>
          <w:noProof/>
          <w:webHidden/>
          <w:color w:val="auto"/>
        </w:rPr>
        <w:fldChar w:fldCharType="separate"/>
      </w:r>
      <w:r w:rsidRPr="004764AA">
        <w:rPr>
          <w:noProof/>
          <w:webHidden/>
          <w:color w:val="auto"/>
        </w:rPr>
        <w:t>13</w:t>
      </w:r>
      <w:r w:rsidRPr="004764AA">
        <w:rPr>
          <w:noProof/>
          <w:webHidden/>
          <w:color w:val="auto"/>
        </w:rPr>
        <w:fldChar w:fldCharType="end"/>
      </w:r>
    </w:p>
    <w:p w14:paraId="7CD189EF" w14:textId="17C74323"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2.2.1</w:t>
      </w:r>
      <w:r w:rsidRPr="004764AA">
        <w:rPr>
          <w:rFonts w:asciiTheme="minorHAnsi" w:eastAsiaTheme="minorEastAsia" w:hAnsiTheme="minorHAnsi" w:cstheme="minorBidi"/>
          <w:noProof/>
          <w:color w:val="auto"/>
          <w:sz w:val="22"/>
        </w:rPr>
        <w:tab/>
      </w:r>
      <w:r w:rsidRPr="004764AA">
        <w:rPr>
          <w:noProof/>
          <w:color w:val="auto"/>
        </w:rPr>
        <w:t>Policies in the adopted local plan</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_Toc64026783 \h </w:instrText>
      </w:r>
      <w:r w:rsidRPr="004764AA">
        <w:rPr>
          <w:noProof/>
          <w:webHidden/>
          <w:color w:val="auto"/>
        </w:rPr>
      </w:r>
      <w:r w:rsidRPr="004764AA">
        <w:rPr>
          <w:noProof/>
          <w:webHidden/>
          <w:color w:val="auto"/>
        </w:rPr>
        <w:fldChar w:fldCharType="separate"/>
      </w:r>
      <w:r w:rsidRPr="004764AA">
        <w:rPr>
          <w:noProof/>
          <w:webHidden/>
          <w:color w:val="auto"/>
        </w:rPr>
        <w:t>13</w:t>
      </w:r>
      <w:r w:rsidRPr="004764AA">
        <w:rPr>
          <w:noProof/>
          <w:webHidden/>
          <w:color w:val="auto"/>
        </w:rPr>
        <w:fldChar w:fldCharType="end"/>
      </w:r>
    </w:p>
    <w:p w14:paraId="0DA59D4C" w14:textId="4CD79D94"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2.2.2</w:t>
      </w:r>
      <w:r w:rsidRPr="004764AA">
        <w:rPr>
          <w:rFonts w:asciiTheme="minorHAnsi" w:eastAsiaTheme="minorEastAsia" w:hAnsiTheme="minorHAnsi" w:cstheme="minorBidi"/>
          <w:noProof/>
          <w:color w:val="auto"/>
          <w:sz w:val="22"/>
        </w:rPr>
        <w:tab/>
      </w:r>
      <w:r w:rsidRPr="004764AA">
        <w:rPr>
          <w:noProof/>
          <w:color w:val="auto"/>
        </w:rPr>
        <w:t>Policies in the emerging local plan</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_Toc64026784 \h </w:instrText>
      </w:r>
      <w:r w:rsidRPr="004764AA">
        <w:rPr>
          <w:noProof/>
          <w:webHidden/>
          <w:color w:val="auto"/>
        </w:rPr>
      </w:r>
      <w:r w:rsidRPr="004764AA">
        <w:rPr>
          <w:noProof/>
          <w:webHidden/>
          <w:color w:val="auto"/>
        </w:rPr>
        <w:fldChar w:fldCharType="separate"/>
      </w:r>
      <w:r w:rsidRPr="004764AA">
        <w:rPr>
          <w:noProof/>
          <w:webHidden/>
          <w:color w:val="auto"/>
        </w:rPr>
        <w:t>15</w:t>
      </w:r>
      <w:r w:rsidRPr="004764AA">
        <w:rPr>
          <w:noProof/>
          <w:webHidden/>
          <w:color w:val="auto"/>
        </w:rPr>
        <w:fldChar w:fldCharType="end"/>
      </w:r>
    </w:p>
    <w:p w14:paraId="25902FAC" w14:textId="1243CDB4"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2.2.3</w:t>
      </w:r>
      <w:r w:rsidRPr="004764AA">
        <w:rPr>
          <w:rFonts w:asciiTheme="minorHAnsi" w:eastAsiaTheme="minorEastAsia" w:hAnsiTheme="minorHAnsi" w:cstheme="minorBidi"/>
          <w:noProof/>
          <w:color w:val="auto"/>
          <w:sz w:val="22"/>
        </w:rPr>
        <w:tab/>
      </w:r>
      <w:r w:rsidRPr="004764AA">
        <w:rPr>
          <w:noProof/>
          <w:color w:val="auto"/>
        </w:rPr>
        <w:t>Quantity of housing to provide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_Toc64026785 \h </w:instrText>
      </w:r>
      <w:r w:rsidRPr="004764AA">
        <w:rPr>
          <w:noProof/>
          <w:webHidden/>
          <w:color w:val="auto"/>
        </w:rPr>
      </w:r>
      <w:r w:rsidRPr="004764AA">
        <w:rPr>
          <w:noProof/>
          <w:webHidden/>
          <w:color w:val="auto"/>
        </w:rPr>
        <w:fldChar w:fldCharType="separate"/>
      </w:r>
      <w:r w:rsidRPr="004764AA">
        <w:rPr>
          <w:noProof/>
          <w:webHidden/>
          <w:color w:val="auto"/>
        </w:rPr>
        <w:t>16</w:t>
      </w:r>
      <w:r w:rsidRPr="004764AA">
        <w:rPr>
          <w:noProof/>
          <w:webHidden/>
          <w:color w:val="auto"/>
        </w:rPr>
        <w:fldChar w:fldCharType="end"/>
      </w:r>
    </w:p>
    <w:p w14:paraId="2781A2C4" w14:textId="5B1AF9C3" w:rsidR="004764AA" w:rsidRPr="004764AA" w:rsidRDefault="004764AA">
      <w:pPr>
        <w:pStyle w:val="TOC1"/>
        <w:rPr>
          <w:rFonts w:asciiTheme="minorHAnsi" w:eastAsiaTheme="minorEastAsia" w:hAnsiTheme="minorHAnsi" w:cstheme="minorBidi"/>
          <w:noProof/>
          <w:color w:val="auto"/>
          <w:sz w:val="22"/>
        </w:rPr>
      </w:pPr>
      <w:r w:rsidRPr="004764AA">
        <w:rPr>
          <w:noProof/>
          <w:color w:val="auto"/>
          <w:lang w:val="en-US"/>
        </w:rPr>
        <w:t>3.</w:t>
      </w:r>
      <w:r w:rsidRPr="004764AA">
        <w:rPr>
          <w:rFonts w:asciiTheme="minorHAnsi" w:eastAsiaTheme="minorEastAsia" w:hAnsiTheme="minorHAnsi" w:cstheme="minorBidi"/>
          <w:noProof/>
          <w:color w:val="auto"/>
          <w:sz w:val="22"/>
        </w:rPr>
        <w:tab/>
      </w:r>
      <w:r w:rsidRPr="004764AA">
        <w:rPr>
          <w:noProof/>
          <w:color w:val="auto"/>
          <w:lang w:val="en-US"/>
        </w:rPr>
        <w:t>Approach</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_Toc64026786 \h </w:instrText>
      </w:r>
      <w:r w:rsidRPr="004764AA">
        <w:rPr>
          <w:noProof/>
          <w:webHidden/>
          <w:color w:val="auto"/>
        </w:rPr>
      </w:r>
      <w:r w:rsidRPr="004764AA">
        <w:rPr>
          <w:noProof/>
          <w:webHidden/>
          <w:color w:val="auto"/>
        </w:rPr>
        <w:fldChar w:fldCharType="separate"/>
      </w:r>
      <w:r w:rsidRPr="004764AA">
        <w:rPr>
          <w:noProof/>
          <w:webHidden/>
          <w:color w:val="auto"/>
        </w:rPr>
        <w:t>18</w:t>
      </w:r>
      <w:r w:rsidRPr="004764AA">
        <w:rPr>
          <w:noProof/>
          <w:webHidden/>
          <w:color w:val="auto"/>
        </w:rPr>
        <w:fldChar w:fldCharType="end"/>
      </w:r>
    </w:p>
    <w:p w14:paraId="334E0568" w14:textId="5B009F59"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3.1</w:t>
      </w:r>
      <w:r w:rsidRPr="004764AA">
        <w:rPr>
          <w:rFonts w:asciiTheme="minorHAnsi" w:eastAsiaTheme="minorEastAsia" w:hAnsiTheme="minorHAnsi" w:cstheme="minorBidi"/>
          <w:noProof/>
          <w:color w:val="auto"/>
          <w:sz w:val="22"/>
        </w:rPr>
        <w:tab/>
      </w:r>
      <w:r w:rsidRPr="004764AA">
        <w:rPr>
          <w:noProof/>
          <w:color w:val="auto"/>
        </w:rPr>
        <w:t>Research Questions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_Toc64026787 \h </w:instrText>
      </w:r>
      <w:r w:rsidRPr="004764AA">
        <w:rPr>
          <w:noProof/>
          <w:webHidden/>
          <w:color w:val="auto"/>
        </w:rPr>
      </w:r>
      <w:r w:rsidRPr="004764AA">
        <w:rPr>
          <w:noProof/>
          <w:webHidden/>
          <w:color w:val="auto"/>
        </w:rPr>
        <w:fldChar w:fldCharType="separate"/>
      </w:r>
      <w:r w:rsidRPr="004764AA">
        <w:rPr>
          <w:noProof/>
          <w:webHidden/>
          <w:color w:val="auto"/>
        </w:rPr>
        <w:t>18</w:t>
      </w:r>
      <w:r w:rsidRPr="004764AA">
        <w:rPr>
          <w:noProof/>
          <w:webHidden/>
          <w:color w:val="auto"/>
        </w:rPr>
        <w:fldChar w:fldCharType="end"/>
      </w:r>
    </w:p>
    <w:p w14:paraId="53323634" w14:textId="2385537D"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3.1.1</w:t>
      </w:r>
      <w:r w:rsidRPr="004764AA">
        <w:rPr>
          <w:rFonts w:asciiTheme="minorHAnsi" w:eastAsiaTheme="minorEastAsia" w:hAnsiTheme="minorHAnsi" w:cstheme="minorBidi"/>
          <w:noProof/>
          <w:color w:val="auto"/>
          <w:sz w:val="22"/>
        </w:rPr>
        <w:tab/>
      </w:r>
      <w:r w:rsidRPr="004764AA">
        <w:rPr>
          <w:noProof/>
          <w:color w:val="auto"/>
        </w:rPr>
        <w:t>Tenure and Affordability</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_Toc64026788 \h </w:instrText>
      </w:r>
      <w:r w:rsidRPr="004764AA">
        <w:rPr>
          <w:noProof/>
          <w:webHidden/>
          <w:color w:val="auto"/>
        </w:rPr>
      </w:r>
      <w:r w:rsidRPr="004764AA">
        <w:rPr>
          <w:noProof/>
          <w:webHidden/>
          <w:color w:val="auto"/>
        </w:rPr>
        <w:fldChar w:fldCharType="separate"/>
      </w:r>
      <w:r w:rsidRPr="004764AA">
        <w:rPr>
          <w:noProof/>
          <w:webHidden/>
          <w:color w:val="auto"/>
        </w:rPr>
        <w:t>18</w:t>
      </w:r>
      <w:r w:rsidRPr="004764AA">
        <w:rPr>
          <w:noProof/>
          <w:webHidden/>
          <w:color w:val="auto"/>
        </w:rPr>
        <w:fldChar w:fldCharType="end"/>
      </w:r>
    </w:p>
    <w:p w14:paraId="48565769" w14:textId="61148762"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3.1.2</w:t>
      </w:r>
      <w:r w:rsidRPr="004764AA">
        <w:rPr>
          <w:rFonts w:asciiTheme="minorHAnsi" w:eastAsiaTheme="minorEastAsia" w:hAnsiTheme="minorHAnsi" w:cstheme="minorBidi"/>
          <w:noProof/>
          <w:color w:val="auto"/>
          <w:sz w:val="22"/>
        </w:rPr>
        <w:tab/>
      </w:r>
      <w:r w:rsidRPr="004764AA">
        <w:rPr>
          <w:noProof/>
          <w:color w:val="auto"/>
        </w:rPr>
        <w:t>Type and Size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_Toc64026789 \h </w:instrText>
      </w:r>
      <w:r w:rsidRPr="004764AA">
        <w:rPr>
          <w:noProof/>
          <w:webHidden/>
          <w:color w:val="auto"/>
        </w:rPr>
      </w:r>
      <w:r w:rsidRPr="004764AA">
        <w:rPr>
          <w:noProof/>
          <w:webHidden/>
          <w:color w:val="auto"/>
        </w:rPr>
        <w:fldChar w:fldCharType="separate"/>
      </w:r>
      <w:r w:rsidRPr="004764AA">
        <w:rPr>
          <w:noProof/>
          <w:webHidden/>
          <w:color w:val="auto"/>
        </w:rPr>
        <w:t>18</w:t>
      </w:r>
      <w:r w:rsidRPr="004764AA">
        <w:rPr>
          <w:noProof/>
          <w:webHidden/>
          <w:color w:val="auto"/>
        </w:rPr>
        <w:fldChar w:fldCharType="end"/>
      </w:r>
    </w:p>
    <w:p w14:paraId="33642DEA" w14:textId="0C7396E2"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3.1.3</w:t>
      </w:r>
      <w:r w:rsidRPr="004764AA">
        <w:rPr>
          <w:rFonts w:asciiTheme="minorHAnsi" w:eastAsiaTheme="minorEastAsia" w:hAnsiTheme="minorHAnsi" w:cstheme="minorBidi"/>
          <w:noProof/>
          <w:color w:val="auto"/>
          <w:sz w:val="22"/>
        </w:rPr>
        <w:tab/>
      </w:r>
      <w:r w:rsidRPr="004764AA">
        <w:rPr>
          <w:noProof/>
          <w:color w:val="auto"/>
        </w:rPr>
        <w:t>Specialist Housing for Older People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_Toc64026790 \h </w:instrText>
      </w:r>
      <w:r w:rsidRPr="004764AA">
        <w:rPr>
          <w:noProof/>
          <w:webHidden/>
          <w:color w:val="auto"/>
        </w:rPr>
      </w:r>
      <w:r w:rsidRPr="004764AA">
        <w:rPr>
          <w:noProof/>
          <w:webHidden/>
          <w:color w:val="auto"/>
        </w:rPr>
        <w:fldChar w:fldCharType="separate"/>
      </w:r>
      <w:r w:rsidRPr="004764AA">
        <w:rPr>
          <w:noProof/>
          <w:webHidden/>
          <w:color w:val="auto"/>
        </w:rPr>
        <w:t>18</w:t>
      </w:r>
      <w:r w:rsidRPr="004764AA">
        <w:rPr>
          <w:noProof/>
          <w:webHidden/>
          <w:color w:val="auto"/>
        </w:rPr>
        <w:fldChar w:fldCharType="end"/>
      </w:r>
    </w:p>
    <w:p w14:paraId="25422A86" w14:textId="33DD4070"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3.2</w:t>
      </w:r>
      <w:r w:rsidRPr="004764AA">
        <w:rPr>
          <w:rFonts w:asciiTheme="minorHAnsi" w:eastAsiaTheme="minorEastAsia" w:hAnsiTheme="minorHAnsi" w:cstheme="minorBidi"/>
          <w:noProof/>
          <w:color w:val="auto"/>
          <w:sz w:val="22"/>
        </w:rPr>
        <w:tab/>
      </w:r>
      <w:r w:rsidRPr="004764AA">
        <w:rPr>
          <w:noProof/>
          <w:color w:val="auto"/>
        </w:rPr>
        <w:t>Relevant Data</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_Toc64026791 \h </w:instrText>
      </w:r>
      <w:r w:rsidRPr="004764AA">
        <w:rPr>
          <w:noProof/>
          <w:webHidden/>
          <w:color w:val="auto"/>
        </w:rPr>
      </w:r>
      <w:r w:rsidRPr="004764AA">
        <w:rPr>
          <w:noProof/>
          <w:webHidden/>
          <w:color w:val="auto"/>
        </w:rPr>
        <w:fldChar w:fldCharType="separate"/>
      </w:r>
      <w:r w:rsidRPr="004764AA">
        <w:rPr>
          <w:noProof/>
          <w:webHidden/>
          <w:color w:val="auto"/>
        </w:rPr>
        <w:t>18</w:t>
      </w:r>
      <w:r w:rsidRPr="004764AA">
        <w:rPr>
          <w:noProof/>
          <w:webHidden/>
          <w:color w:val="auto"/>
        </w:rPr>
        <w:fldChar w:fldCharType="end"/>
      </w:r>
    </w:p>
    <w:p w14:paraId="76661937" w14:textId="0E20FC9F"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3.2.1</w:t>
      </w:r>
      <w:r w:rsidRPr="004764AA">
        <w:rPr>
          <w:rFonts w:asciiTheme="minorHAnsi" w:eastAsiaTheme="minorEastAsia" w:hAnsiTheme="minorHAnsi" w:cstheme="minorBidi"/>
          <w:noProof/>
          <w:color w:val="auto"/>
          <w:sz w:val="22"/>
        </w:rPr>
        <w:tab/>
      </w:r>
      <w:r w:rsidRPr="004764AA">
        <w:rPr>
          <w:noProof/>
          <w:color w:val="auto"/>
        </w:rPr>
        <w:t>Local authority evidence base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_Toc64026792 \h </w:instrText>
      </w:r>
      <w:r w:rsidRPr="004764AA">
        <w:rPr>
          <w:noProof/>
          <w:webHidden/>
          <w:color w:val="auto"/>
        </w:rPr>
      </w:r>
      <w:r w:rsidRPr="004764AA">
        <w:rPr>
          <w:noProof/>
          <w:webHidden/>
          <w:color w:val="auto"/>
        </w:rPr>
        <w:fldChar w:fldCharType="separate"/>
      </w:r>
      <w:r w:rsidRPr="004764AA">
        <w:rPr>
          <w:noProof/>
          <w:webHidden/>
          <w:color w:val="auto"/>
        </w:rPr>
        <w:t>18</w:t>
      </w:r>
      <w:r w:rsidRPr="004764AA">
        <w:rPr>
          <w:noProof/>
          <w:webHidden/>
          <w:color w:val="auto"/>
        </w:rPr>
        <w:fldChar w:fldCharType="end"/>
      </w:r>
    </w:p>
    <w:p w14:paraId="45E23835" w14:textId="6E8EE778"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3.2.2</w:t>
      </w:r>
      <w:r w:rsidRPr="004764AA">
        <w:rPr>
          <w:rFonts w:asciiTheme="minorHAnsi" w:eastAsiaTheme="minorEastAsia" w:hAnsiTheme="minorHAnsi" w:cstheme="minorBidi"/>
          <w:noProof/>
          <w:color w:val="auto"/>
          <w:sz w:val="22"/>
        </w:rPr>
        <w:tab/>
      </w:r>
      <w:r w:rsidRPr="004764AA">
        <w:rPr>
          <w:noProof/>
          <w:color w:val="auto"/>
        </w:rPr>
        <w:t>Other relevant data</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_Toc64026793 \h </w:instrText>
      </w:r>
      <w:r w:rsidRPr="004764AA">
        <w:rPr>
          <w:noProof/>
          <w:webHidden/>
          <w:color w:val="auto"/>
        </w:rPr>
      </w:r>
      <w:r w:rsidRPr="004764AA">
        <w:rPr>
          <w:noProof/>
          <w:webHidden/>
          <w:color w:val="auto"/>
        </w:rPr>
        <w:fldChar w:fldCharType="separate"/>
      </w:r>
      <w:r w:rsidRPr="004764AA">
        <w:rPr>
          <w:noProof/>
          <w:webHidden/>
          <w:color w:val="auto"/>
        </w:rPr>
        <w:t>19</w:t>
      </w:r>
      <w:r w:rsidRPr="004764AA">
        <w:rPr>
          <w:noProof/>
          <w:webHidden/>
          <w:color w:val="auto"/>
        </w:rPr>
        <w:fldChar w:fldCharType="end"/>
      </w:r>
    </w:p>
    <w:p w14:paraId="12933262" w14:textId="2AC23373" w:rsidR="004764AA" w:rsidRPr="004764AA" w:rsidRDefault="004764AA">
      <w:pPr>
        <w:pStyle w:val="TOC1"/>
        <w:rPr>
          <w:rFonts w:asciiTheme="minorHAnsi" w:eastAsiaTheme="minorEastAsia" w:hAnsiTheme="minorHAnsi" w:cstheme="minorBidi"/>
          <w:noProof/>
          <w:color w:val="auto"/>
          <w:sz w:val="22"/>
        </w:rPr>
      </w:pPr>
      <w:r w:rsidRPr="004764AA">
        <w:rPr>
          <w:noProof/>
          <w:color w:val="auto"/>
        </w:rPr>
        <w:t>4.</w:t>
      </w:r>
      <w:r w:rsidRPr="004764AA">
        <w:rPr>
          <w:rFonts w:asciiTheme="minorHAnsi" w:eastAsiaTheme="minorEastAsia" w:hAnsiTheme="minorHAnsi" w:cstheme="minorBidi"/>
          <w:noProof/>
          <w:color w:val="auto"/>
          <w:sz w:val="22"/>
        </w:rPr>
        <w:tab/>
      </w:r>
      <w:r w:rsidRPr="004764AA">
        <w:rPr>
          <w:noProof/>
          <w:color w:val="auto"/>
        </w:rPr>
        <w:t>RQ 1: Tenure, Affordability and the Need for Affordable Housing</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_Toc64026794 \h </w:instrText>
      </w:r>
      <w:r w:rsidRPr="004764AA">
        <w:rPr>
          <w:noProof/>
          <w:webHidden/>
          <w:color w:val="auto"/>
        </w:rPr>
      </w:r>
      <w:r w:rsidRPr="004764AA">
        <w:rPr>
          <w:noProof/>
          <w:webHidden/>
          <w:color w:val="auto"/>
        </w:rPr>
        <w:fldChar w:fldCharType="separate"/>
      </w:r>
      <w:r w:rsidRPr="004764AA">
        <w:rPr>
          <w:noProof/>
          <w:webHidden/>
          <w:color w:val="auto"/>
        </w:rPr>
        <w:t>20</w:t>
      </w:r>
      <w:r w:rsidRPr="004764AA">
        <w:rPr>
          <w:noProof/>
          <w:webHidden/>
          <w:color w:val="auto"/>
        </w:rPr>
        <w:fldChar w:fldCharType="end"/>
      </w:r>
    </w:p>
    <w:p w14:paraId="34008702" w14:textId="7B61E420"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4.1</w:t>
      </w:r>
      <w:r w:rsidRPr="004764AA">
        <w:rPr>
          <w:rFonts w:asciiTheme="minorHAnsi" w:eastAsiaTheme="minorEastAsia" w:hAnsiTheme="minorHAnsi" w:cstheme="minorBidi"/>
          <w:noProof/>
          <w:color w:val="auto"/>
          <w:sz w:val="22"/>
        </w:rPr>
        <w:tab/>
      </w:r>
      <w:r w:rsidRPr="004764AA">
        <w:rPr>
          <w:noProof/>
          <w:color w:val="auto"/>
        </w:rPr>
        <w:t>Introduction</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_Toc64026795 \h </w:instrText>
      </w:r>
      <w:r w:rsidRPr="004764AA">
        <w:rPr>
          <w:noProof/>
          <w:webHidden/>
          <w:color w:val="auto"/>
        </w:rPr>
      </w:r>
      <w:r w:rsidRPr="004764AA">
        <w:rPr>
          <w:noProof/>
          <w:webHidden/>
          <w:color w:val="auto"/>
        </w:rPr>
        <w:fldChar w:fldCharType="separate"/>
      </w:r>
      <w:r w:rsidRPr="004764AA">
        <w:rPr>
          <w:noProof/>
          <w:webHidden/>
          <w:color w:val="auto"/>
        </w:rPr>
        <w:t>20</w:t>
      </w:r>
      <w:r w:rsidRPr="004764AA">
        <w:rPr>
          <w:noProof/>
          <w:webHidden/>
          <w:color w:val="auto"/>
        </w:rPr>
        <w:fldChar w:fldCharType="end"/>
      </w:r>
    </w:p>
    <w:p w14:paraId="1348346A" w14:textId="7408669E"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4.2</w:t>
      </w:r>
      <w:r w:rsidRPr="004764AA">
        <w:rPr>
          <w:rFonts w:asciiTheme="minorHAnsi" w:eastAsiaTheme="minorEastAsia" w:hAnsiTheme="minorHAnsi" w:cstheme="minorBidi"/>
          <w:noProof/>
          <w:color w:val="auto"/>
          <w:sz w:val="22"/>
        </w:rPr>
        <w:tab/>
      </w:r>
      <w:r w:rsidRPr="004764AA">
        <w:rPr>
          <w:noProof/>
          <w:color w:val="auto"/>
        </w:rPr>
        <w:t>Definitions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_Toc64026796 \h </w:instrText>
      </w:r>
      <w:r w:rsidRPr="004764AA">
        <w:rPr>
          <w:noProof/>
          <w:webHidden/>
          <w:color w:val="auto"/>
        </w:rPr>
      </w:r>
      <w:r w:rsidRPr="004764AA">
        <w:rPr>
          <w:noProof/>
          <w:webHidden/>
          <w:color w:val="auto"/>
        </w:rPr>
        <w:fldChar w:fldCharType="separate"/>
      </w:r>
      <w:r w:rsidRPr="004764AA">
        <w:rPr>
          <w:noProof/>
          <w:webHidden/>
          <w:color w:val="auto"/>
        </w:rPr>
        <w:t>20</w:t>
      </w:r>
      <w:r w:rsidRPr="004764AA">
        <w:rPr>
          <w:noProof/>
          <w:webHidden/>
          <w:color w:val="auto"/>
        </w:rPr>
        <w:fldChar w:fldCharType="end"/>
      </w:r>
    </w:p>
    <w:p w14:paraId="540F946F" w14:textId="2B7E2FC4"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4.3</w:t>
      </w:r>
      <w:r w:rsidRPr="004764AA">
        <w:rPr>
          <w:rFonts w:asciiTheme="minorHAnsi" w:eastAsiaTheme="minorEastAsia" w:hAnsiTheme="minorHAnsi" w:cstheme="minorBidi"/>
          <w:noProof/>
          <w:color w:val="auto"/>
          <w:sz w:val="22"/>
        </w:rPr>
        <w:tab/>
      </w:r>
      <w:r w:rsidRPr="004764AA">
        <w:rPr>
          <w:noProof/>
          <w:color w:val="auto"/>
        </w:rPr>
        <w:t>Current tenure profile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_Toc64026797 \h </w:instrText>
      </w:r>
      <w:r w:rsidRPr="004764AA">
        <w:rPr>
          <w:noProof/>
          <w:webHidden/>
          <w:color w:val="auto"/>
        </w:rPr>
      </w:r>
      <w:r w:rsidRPr="004764AA">
        <w:rPr>
          <w:noProof/>
          <w:webHidden/>
          <w:color w:val="auto"/>
        </w:rPr>
        <w:fldChar w:fldCharType="separate"/>
      </w:r>
      <w:r w:rsidRPr="004764AA">
        <w:rPr>
          <w:noProof/>
          <w:webHidden/>
          <w:color w:val="auto"/>
        </w:rPr>
        <w:t>20</w:t>
      </w:r>
      <w:r w:rsidRPr="004764AA">
        <w:rPr>
          <w:noProof/>
          <w:webHidden/>
          <w:color w:val="auto"/>
        </w:rPr>
        <w:fldChar w:fldCharType="end"/>
      </w:r>
    </w:p>
    <w:p w14:paraId="74BE3C90" w14:textId="1C4E86EF"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4.4</w:t>
      </w:r>
      <w:r w:rsidRPr="004764AA">
        <w:rPr>
          <w:rFonts w:asciiTheme="minorHAnsi" w:eastAsiaTheme="minorEastAsia" w:hAnsiTheme="minorHAnsi" w:cstheme="minorBidi"/>
          <w:noProof/>
          <w:color w:val="auto"/>
          <w:sz w:val="22"/>
        </w:rPr>
        <w:tab/>
      </w:r>
      <w:r w:rsidRPr="004764AA">
        <w:rPr>
          <w:noProof/>
          <w:color w:val="auto"/>
        </w:rPr>
        <w:t>Affordability</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_Toc64026798 \h </w:instrText>
      </w:r>
      <w:r w:rsidRPr="004764AA">
        <w:rPr>
          <w:noProof/>
          <w:webHidden/>
          <w:color w:val="auto"/>
        </w:rPr>
      </w:r>
      <w:r w:rsidRPr="004764AA">
        <w:rPr>
          <w:noProof/>
          <w:webHidden/>
          <w:color w:val="auto"/>
        </w:rPr>
        <w:fldChar w:fldCharType="separate"/>
      </w:r>
      <w:r w:rsidRPr="004764AA">
        <w:rPr>
          <w:noProof/>
          <w:webHidden/>
          <w:color w:val="auto"/>
        </w:rPr>
        <w:t>21</w:t>
      </w:r>
      <w:r w:rsidRPr="004764AA">
        <w:rPr>
          <w:noProof/>
          <w:webHidden/>
          <w:color w:val="auto"/>
        </w:rPr>
        <w:fldChar w:fldCharType="end"/>
      </w:r>
    </w:p>
    <w:p w14:paraId="41266323" w14:textId="7F914F64"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4.4.1</w:t>
      </w:r>
      <w:r w:rsidRPr="004764AA">
        <w:rPr>
          <w:rFonts w:asciiTheme="minorHAnsi" w:eastAsiaTheme="minorEastAsia" w:hAnsiTheme="minorHAnsi" w:cstheme="minorBidi"/>
          <w:noProof/>
          <w:color w:val="auto"/>
          <w:sz w:val="22"/>
        </w:rPr>
        <w:tab/>
      </w:r>
      <w:r w:rsidRPr="004764AA">
        <w:rPr>
          <w:noProof/>
          <w:color w:val="auto"/>
        </w:rPr>
        <w:t>House prices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_Toc64026799 \h </w:instrText>
      </w:r>
      <w:r w:rsidRPr="004764AA">
        <w:rPr>
          <w:noProof/>
          <w:webHidden/>
          <w:color w:val="auto"/>
        </w:rPr>
      </w:r>
      <w:r w:rsidRPr="004764AA">
        <w:rPr>
          <w:noProof/>
          <w:webHidden/>
          <w:color w:val="auto"/>
        </w:rPr>
        <w:fldChar w:fldCharType="separate"/>
      </w:r>
      <w:r w:rsidRPr="004764AA">
        <w:rPr>
          <w:noProof/>
          <w:webHidden/>
          <w:color w:val="auto"/>
        </w:rPr>
        <w:t>21</w:t>
      </w:r>
      <w:r w:rsidRPr="004764AA">
        <w:rPr>
          <w:noProof/>
          <w:webHidden/>
          <w:color w:val="auto"/>
        </w:rPr>
        <w:fldChar w:fldCharType="end"/>
      </w:r>
    </w:p>
    <w:p w14:paraId="78B6153F" w14:textId="6720C0E8"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4.4.2</w:t>
      </w:r>
      <w:r w:rsidRPr="004764AA">
        <w:rPr>
          <w:rFonts w:asciiTheme="minorHAnsi" w:eastAsiaTheme="minorEastAsia" w:hAnsiTheme="minorHAnsi" w:cstheme="minorBidi"/>
          <w:noProof/>
          <w:color w:val="auto"/>
          <w:sz w:val="22"/>
        </w:rPr>
        <w:tab/>
      </w:r>
      <w:r w:rsidRPr="004764AA">
        <w:rPr>
          <w:noProof/>
          <w:color w:val="auto"/>
        </w:rPr>
        <w:t>Income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_Toc64026800 \h </w:instrText>
      </w:r>
      <w:r w:rsidRPr="004764AA">
        <w:rPr>
          <w:noProof/>
          <w:webHidden/>
          <w:color w:val="auto"/>
        </w:rPr>
      </w:r>
      <w:r w:rsidRPr="004764AA">
        <w:rPr>
          <w:noProof/>
          <w:webHidden/>
          <w:color w:val="auto"/>
        </w:rPr>
        <w:fldChar w:fldCharType="separate"/>
      </w:r>
      <w:r w:rsidRPr="004764AA">
        <w:rPr>
          <w:noProof/>
          <w:webHidden/>
          <w:color w:val="auto"/>
        </w:rPr>
        <w:t>23</w:t>
      </w:r>
      <w:r w:rsidRPr="004764AA">
        <w:rPr>
          <w:noProof/>
          <w:webHidden/>
          <w:color w:val="auto"/>
        </w:rPr>
        <w:fldChar w:fldCharType="end"/>
      </w:r>
    </w:p>
    <w:p w14:paraId="7C5A026D" w14:textId="2F3F1072"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4.4.3</w:t>
      </w:r>
      <w:r w:rsidRPr="004764AA">
        <w:rPr>
          <w:rFonts w:asciiTheme="minorHAnsi" w:eastAsiaTheme="minorEastAsia" w:hAnsiTheme="minorHAnsi" w:cstheme="minorBidi"/>
          <w:noProof/>
          <w:color w:val="auto"/>
          <w:sz w:val="22"/>
        </w:rPr>
        <w:tab/>
      </w:r>
      <w:r w:rsidRPr="004764AA">
        <w:rPr>
          <w:noProof/>
          <w:color w:val="auto"/>
        </w:rPr>
        <w:t>Affordability Thresholds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_Toc64026801 \h </w:instrText>
      </w:r>
      <w:r w:rsidRPr="004764AA">
        <w:rPr>
          <w:noProof/>
          <w:webHidden/>
          <w:color w:val="auto"/>
        </w:rPr>
      </w:r>
      <w:r w:rsidRPr="004764AA">
        <w:rPr>
          <w:noProof/>
          <w:webHidden/>
          <w:color w:val="auto"/>
        </w:rPr>
        <w:fldChar w:fldCharType="separate"/>
      </w:r>
      <w:r w:rsidRPr="004764AA">
        <w:rPr>
          <w:noProof/>
          <w:webHidden/>
          <w:color w:val="auto"/>
        </w:rPr>
        <w:t>23</w:t>
      </w:r>
      <w:r w:rsidRPr="004764AA">
        <w:rPr>
          <w:noProof/>
          <w:webHidden/>
          <w:color w:val="auto"/>
        </w:rPr>
        <w:fldChar w:fldCharType="end"/>
      </w:r>
    </w:p>
    <w:p w14:paraId="241C0935" w14:textId="0379AAB6"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4.5</w:t>
      </w:r>
      <w:r w:rsidRPr="004764AA">
        <w:rPr>
          <w:rFonts w:asciiTheme="minorHAnsi" w:eastAsiaTheme="minorEastAsia" w:hAnsiTheme="minorHAnsi" w:cstheme="minorBidi"/>
          <w:noProof/>
          <w:color w:val="auto"/>
          <w:sz w:val="22"/>
        </w:rPr>
        <w:tab/>
      </w:r>
      <w:r w:rsidRPr="004764AA">
        <w:rPr>
          <w:noProof/>
          <w:color w:val="auto"/>
        </w:rPr>
        <w:t>Affordable housing- quantity needed</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_Toc64026802 \h </w:instrText>
      </w:r>
      <w:r w:rsidRPr="004764AA">
        <w:rPr>
          <w:noProof/>
          <w:webHidden/>
          <w:color w:val="auto"/>
        </w:rPr>
      </w:r>
      <w:r w:rsidRPr="004764AA">
        <w:rPr>
          <w:noProof/>
          <w:webHidden/>
          <w:color w:val="auto"/>
        </w:rPr>
        <w:fldChar w:fldCharType="separate"/>
      </w:r>
      <w:r w:rsidRPr="004764AA">
        <w:rPr>
          <w:noProof/>
          <w:webHidden/>
          <w:color w:val="auto"/>
        </w:rPr>
        <w:t>28</w:t>
      </w:r>
      <w:r w:rsidRPr="004764AA">
        <w:rPr>
          <w:noProof/>
          <w:webHidden/>
          <w:color w:val="auto"/>
        </w:rPr>
        <w:fldChar w:fldCharType="end"/>
      </w:r>
    </w:p>
    <w:p w14:paraId="629A0899" w14:textId="206B4E1E"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4.5.1</w:t>
      </w:r>
      <w:r w:rsidRPr="004764AA">
        <w:rPr>
          <w:rFonts w:asciiTheme="minorHAnsi" w:eastAsiaTheme="minorEastAsia" w:hAnsiTheme="minorHAnsi" w:cstheme="minorBidi"/>
          <w:noProof/>
          <w:color w:val="auto"/>
          <w:sz w:val="22"/>
        </w:rPr>
        <w:tab/>
      </w:r>
      <w:r w:rsidRPr="004764AA">
        <w:rPr>
          <w:noProof/>
          <w:color w:val="auto"/>
        </w:rPr>
        <w:t>Additional SHMA findings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_Toc64026803 \h </w:instrText>
      </w:r>
      <w:r w:rsidRPr="004764AA">
        <w:rPr>
          <w:noProof/>
          <w:webHidden/>
          <w:color w:val="auto"/>
        </w:rPr>
      </w:r>
      <w:r w:rsidRPr="004764AA">
        <w:rPr>
          <w:noProof/>
          <w:webHidden/>
          <w:color w:val="auto"/>
        </w:rPr>
        <w:fldChar w:fldCharType="separate"/>
      </w:r>
      <w:r w:rsidRPr="004764AA">
        <w:rPr>
          <w:noProof/>
          <w:webHidden/>
          <w:color w:val="auto"/>
        </w:rPr>
        <w:t>30</w:t>
      </w:r>
      <w:r w:rsidRPr="004764AA">
        <w:rPr>
          <w:noProof/>
          <w:webHidden/>
          <w:color w:val="auto"/>
        </w:rPr>
        <w:fldChar w:fldCharType="end"/>
      </w:r>
    </w:p>
    <w:p w14:paraId="4A48C753" w14:textId="0AB6F5BE" w:rsidR="004764AA" w:rsidRPr="004764AA" w:rsidRDefault="004764AA">
      <w:pPr>
        <w:pStyle w:val="TOC3"/>
        <w:tabs>
          <w:tab w:val="left" w:pos="1134"/>
        </w:tabs>
        <w:rPr>
          <w:rFonts w:asciiTheme="minorHAnsi" w:eastAsiaTheme="minorEastAsia" w:hAnsiTheme="minorHAnsi" w:cstheme="minorBidi"/>
          <w:noProof/>
          <w:color w:val="auto"/>
          <w:sz w:val="22"/>
        </w:rPr>
      </w:pPr>
      <w:r w:rsidRPr="004764AA">
        <w:rPr>
          <w:rFonts w:asciiTheme="majorHAnsi" w:eastAsiaTheme="majorEastAsia" w:hAnsiTheme="majorHAnsi" w:cstheme="majorBidi"/>
          <w:bCs/>
          <w:noProof/>
          <w:color w:val="auto"/>
        </w:rPr>
        <w:t>4.5.2</w:t>
      </w:r>
      <w:r w:rsidRPr="004764AA">
        <w:rPr>
          <w:rFonts w:asciiTheme="minorHAnsi" w:eastAsiaTheme="minorEastAsia" w:hAnsiTheme="minorHAnsi" w:cstheme="minorBidi"/>
          <w:noProof/>
          <w:color w:val="auto"/>
          <w:sz w:val="22"/>
        </w:rPr>
        <w:tab/>
      </w:r>
      <w:r w:rsidRPr="004764AA">
        <w:rPr>
          <w:rFonts w:asciiTheme="majorHAnsi" w:eastAsiaTheme="majorEastAsia" w:hAnsiTheme="majorHAnsi" w:cstheme="majorBidi"/>
          <w:bCs/>
          <w:noProof/>
          <w:color w:val="auto"/>
        </w:rPr>
        <w:t>Affordable Housing Policies in Weymouth</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_Toc64026804 \h </w:instrText>
      </w:r>
      <w:r w:rsidRPr="004764AA">
        <w:rPr>
          <w:noProof/>
          <w:webHidden/>
          <w:color w:val="auto"/>
        </w:rPr>
      </w:r>
      <w:r w:rsidRPr="004764AA">
        <w:rPr>
          <w:noProof/>
          <w:webHidden/>
          <w:color w:val="auto"/>
        </w:rPr>
        <w:fldChar w:fldCharType="separate"/>
      </w:r>
      <w:r w:rsidRPr="004764AA">
        <w:rPr>
          <w:noProof/>
          <w:webHidden/>
          <w:color w:val="auto"/>
        </w:rPr>
        <w:t>31</w:t>
      </w:r>
      <w:r w:rsidRPr="004764AA">
        <w:rPr>
          <w:noProof/>
          <w:webHidden/>
          <w:color w:val="auto"/>
        </w:rPr>
        <w:fldChar w:fldCharType="end"/>
      </w:r>
    </w:p>
    <w:p w14:paraId="65138AA6" w14:textId="3EB22CC1"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4.6</w:t>
      </w:r>
      <w:r w:rsidRPr="004764AA">
        <w:rPr>
          <w:rFonts w:asciiTheme="minorHAnsi" w:eastAsiaTheme="minorEastAsia" w:hAnsiTheme="minorHAnsi" w:cstheme="minorBidi"/>
          <w:noProof/>
          <w:color w:val="auto"/>
          <w:sz w:val="22"/>
        </w:rPr>
        <w:tab/>
      </w:r>
      <w:r w:rsidRPr="004764AA">
        <w:rPr>
          <w:noProof/>
          <w:color w:val="auto"/>
        </w:rPr>
        <w:t>Conclusions- Tenure and Affordability</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_Toc64026805 \h </w:instrText>
      </w:r>
      <w:r w:rsidRPr="004764AA">
        <w:rPr>
          <w:noProof/>
          <w:webHidden/>
          <w:color w:val="auto"/>
        </w:rPr>
      </w:r>
      <w:r w:rsidRPr="004764AA">
        <w:rPr>
          <w:noProof/>
          <w:webHidden/>
          <w:color w:val="auto"/>
        </w:rPr>
        <w:fldChar w:fldCharType="separate"/>
      </w:r>
      <w:r w:rsidRPr="004764AA">
        <w:rPr>
          <w:noProof/>
          <w:webHidden/>
          <w:color w:val="auto"/>
        </w:rPr>
        <w:t>35</w:t>
      </w:r>
      <w:r w:rsidRPr="004764AA">
        <w:rPr>
          <w:noProof/>
          <w:webHidden/>
          <w:color w:val="auto"/>
        </w:rPr>
        <w:fldChar w:fldCharType="end"/>
      </w:r>
    </w:p>
    <w:p w14:paraId="39BAF7CB" w14:textId="5D3D1445" w:rsidR="004764AA" w:rsidRPr="004764AA" w:rsidRDefault="004764AA">
      <w:pPr>
        <w:pStyle w:val="TOC1"/>
        <w:rPr>
          <w:rFonts w:asciiTheme="minorHAnsi" w:eastAsiaTheme="minorEastAsia" w:hAnsiTheme="minorHAnsi" w:cstheme="minorBidi"/>
          <w:noProof/>
          <w:color w:val="auto"/>
          <w:sz w:val="22"/>
        </w:rPr>
      </w:pPr>
      <w:r w:rsidRPr="004764AA">
        <w:rPr>
          <w:noProof/>
          <w:color w:val="auto"/>
        </w:rPr>
        <w:t>5.</w:t>
      </w:r>
      <w:r w:rsidRPr="004764AA">
        <w:rPr>
          <w:rFonts w:asciiTheme="minorHAnsi" w:eastAsiaTheme="minorEastAsia" w:hAnsiTheme="minorHAnsi" w:cstheme="minorBidi"/>
          <w:noProof/>
          <w:color w:val="auto"/>
          <w:sz w:val="22"/>
        </w:rPr>
        <w:tab/>
      </w:r>
      <w:r w:rsidRPr="004764AA">
        <w:rPr>
          <w:noProof/>
          <w:color w:val="auto"/>
        </w:rPr>
        <w:t>RQ 2: Type and Size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_Toc64026806 \h </w:instrText>
      </w:r>
      <w:r w:rsidRPr="004764AA">
        <w:rPr>
          <w:noProof/>
          <w:webHidden/>
          <w:color w:val="auto"/>
        </w:rPr>
      </w:r>
      <w:r w:rsidRPr="004764AA">
        <w:rPr>
          <w:noProof/>
          <w:webHidden/>
          <w:color w:val="auto"/>
        </w:rPr>
        <w:fldChar w:fldCharType="separate"/>
      </w:r>
      <w:r w:rsidRPr="004764AA">
        <w:rPr>
          <w:noProof/>
          <w:webHidden/>
          <w:color w:val="auto"/>
        </w:rPr>
        <w:t>38</w:t>
      </w:r>
      <w:r w:rsidRPr="004764AA">
        <w:rPr>
          <w:noProof/>
          <w:webHidden/>
          <w:color w:val="auto"/>
        </w:rPr>
        <w:fldChar w:fldCharType="end"/>
      </w:r>
    </w:p>
    <w:p w14:paraId="54C0F964" w14:textId="3CB86022"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5.1</w:t>
      </w:r>
      <w:r w:rsidRPr="004764AA">
        <w:rPr>
          <w:rFonts w:asciiTheme="minorHAnsi" w:eastAsiaTheme="minorEastAsia" w:hAnsiTheme="minorHAnsi" w:cstheme="minorBidi"/>
          <w:noProof/>
          <w:color w:val="auto"/>
          <w:sz w:val="22"/>
        </w:rPr>
        <w:tab/>
      </w:r>
      <w:r w:rsidRPr="004764AA">
        <w:rPr>
          <w:noProof/>
          <w:color w:val="auto"/>
        </w:rPr>
        <w:t>Introduction</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_Toc64026807 \h </w:instrText>
      </w:r>
      <w:r w:rsidRPr="004764AA">
        <w:rPr>
          <w:noProof/>
          <w:webHidden/>
          <w:color w:val="auto"/>
        </w:rPr>
      </w:r>
      <w:r w:rsidRPr="004764AA">
        <w:rPr>
          <w:noProof/>
          <w:webHidden/>
          <w:color w:val="auto"/>
        </w:rPr>
        <w:fldChar w:fldCharType="separate"/>
      </w:r>
      <w:r w:rsidRPr="004764AA">
        <w:rPr>
          <w:noProof/>
          <w:webHidden/>
          <w:color w:val="auto"/>
        </w:rPr>
        <w:t>38</w:t>
      </w:r>
      <w:r w:rsidRPr="004764AA">
        <w:rPr>
          <w:noProof/>
          <w:webHidden/>
          <w:color w:val="auto"/>
        </w:rPr>
        <w:fldChar w:fldCharType="end"/>
      </w:r>
    </w:p>
    <w:p w14:paraId="0A2C5895" w14:textId="50E9DAC5"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5.2</w:t>
      </w:r>
      <w:r w:rsidRPr="004764AA">
        <w:rPr>
          <w:rFonts w:asciiTheme="minorHAnsi" w:eastAsiaTheme="minorEastAsia" w:hAnsiTheme="minorHAnsi" w:cstheme="minorBidi"/>
          <w:noProof/>
          <w:color w:val="auto"/>
          <w:sz w:val="22"/>
        </w:rPr>
        <w:tab/>
      </w:r>
      <w:r w:rsidRPr="004764AA">
        <w:rPr>
          <w:noProof/>
          <w:color w:val="auto"/>
        </w:rPr>
        <w:t>Existing types and sizes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_Toc64026808 \h </w:instrText>
      </w:r>
      <w:r w:rsidRPr="004764AA">
        <w:rPr>
          <w:noProof/>
          <w:webHidden/>
          <w:color w:val="auto"/>
        </w:rPr>
      </w:r>
      <w:r w:rsidRPr="004764AA">
        <w:rPr>
          <w:noProof/>
          <w:webHidden/>
          <w:color w:val="auto"/>
        </w:rPr>
        <w:fldChar w:fldCharType="separate"/>
      </w:r>
      <w:r w:rsidRPr="004764AA">
        <w:rPr>
          <w:noProof/>
          <w:webHidden/>
          <w:color w:val="auto"/>
        </w:rPr>
        <w:t>38</w:t>
      </w:r>
      <w:r w:rsidRPr="004764AA">
        <w:rPr>
          <w:noProof/>
          <w:webHidden/>
          <w:color w:val="auto"/>
        </w:rPr>
        <w:fldChar w:fldCharType="end"/>
      </w:r>
    </w:p>
    <w:p w14:paraId="624F0B24" w14:textId="3183DC99"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5.2.1</w:t>
      </w:r>
      <w:r w:rsidRPr="004764AA">
        <w:rPr>
          <w:rFonts w:asciiTheme="minorHAnsi" w:eastAsiaTheme="minorEastAsia" w:hAnsiTheme="minorHAnsi" w:cstheme="minorBidi"/>
          <w:noProof/>
          <w:color w:val="auto"/>
          <w:sz w:val="22"/>
        </w:rPr>
        <w:tab/>
      </w:r>
      <w:r w:rsidRPr="004764AA">
        <w:rPr>
          <w:noProof/>
          <w:color w:val="auto"/>
        </w:rPr>
        <w:t>Background and definitions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_Toc64026809 \h </w:instrText>
      </w:r>
      <w:r w:rsidRPr="004764AA">
        <w:rPr>
          <w:noProof/>
          <w:webHidden/>
          <w:color w:val="auto"/>
        </w:rPr>
      </w:r>
      <w:r w:rsidRPr="004764AA">
        <w:rPr>
          <w:noProof/>
          <w:webHidden/>
          <w:color w:val="auto"/>
        </w:rPr>
        <w:fldChar w:fldCharType="separate"/>
      </w:r>
      <w:r w:rsidRPr="004764AA">
        <w:rPr>
          <w:noProof/>
          <w:webHidden/>
          <w:color w:val="auto"/>
        </w:rPr>
        <w:t>38</w:t>
      </w:r>
      <w:r w:rsidRPr="004764AA">
        <w:rPr>
          <w:noProof/>
          <w:webHidden/>
          <w:color w:val="auto"/>
        </w:rPr>
        <w:fldChar w:fldCharType="end"/>
      </w:r>
    </w:p>
    <w:p w14:paraId="0D6B5B11" w14:textId="543F14EE"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5.2.2</w:t>
      </w:r>
      <w:r w:rsidRPr="004764AA">
        <w:rPr>
          <w:rFonts w:asciiTheme="minorHAnsi" w:eastAsiaTheme="minorEastAsia" w:hAnsiTheme="minorHAnsi" w:cstheme="minorBidi"/>
          <w:noProof/>
          <w:color w:val="auto"/>
          <w:sz w:val="22"/>
        </w:rPr>
        <w:tab/>
      </w:r>
      <w:r w:rsidRPr="004764AA">
        <w:rPr>
          <w:noProof/>
          <w:color w:val="auto"/>
        </w:rPr>
        <w:t>Dwelling type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_Toc64026810 \h </w:instrText>
      </w:r>
      <w:r w:rsidRPr="004764AA">
        <w:rPr>
          <w:noProof/>
          <w:webHidden/>
          <w:color w:val="auto"/>
        </w:rPr>
      </w:r>
      <w:r w:rsidRPr="004764AA">
        <w:rPr>
          <w:noProof/>
          <w:webHidden/>
          <w:color w:val="auto"/>
        </w:rPr>
        <w:fldChar w:fldCharType="separate"/>
      </w:r>
      <w:r w:rsidRPr="004764AA">
        <w:rPr>
          <w:noProof/>
          <w:webHidden/>
          <w:color w:val="auto"/>
        </w:rPr>
        <w:t>39</w:t>
      </w:r>
      <w:r w:rsidRPr="004764AA">
        <w:rPr>
          <w:noProof/>
          <w:webHidden/>
          <w:color w:val="auto"/>
        </w:rPr>
        <w:fldChar w:fldCharType="end"/>
      </w:r>
    </w:p>
    <w:p w14:paraId="6A915FBC" w14:textId="4541BA9D"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5.2.3</w:t>
      </w:r>
      <w:r w:rsidRPr="004764AA">
        <w:rPr>
          <w:rFonts w:asciiTheme="minorHAnsi" w:eastAsiaTheme="minorEastAsia" w:hAnsiTheme="minorHAnsi" w:cstheme="minorBidi"/>
          <w:noProof/>
          <w:color w:val="auto"/>
          <w:sz w:val="22"/>
        </w:rPr>
        <w:tab/>
      </w:r>
      <w:r w:rsidRPr="004764AA">
        <w:rPr>
          <w:noProof/>
          <w:color w:val="auto"/>
        </w:rPr>
        <w:t>Dwelling size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_Toc64026811 \h </w:instrText>
      </w:r>
      <w:r w:rsidRPr="004764AA">
        <w:rPr>
          <w:noProof/>
          <w:webHidden/>
          <w:color w:val="auto"/>
        </w:rPr>
      </w:r>
      <w:r w:rsidRPr="004764AA">
        <w:rPr>
          <w:noProof/>
          <w:webHidden/>
          <w:color w:val="auto"/>
        </w:rPr>
        <w:fldChar w:fldCharType="separate"/>
      </w:r>
      <w:r w:rsidRPr="004764AA">
        <w:rPr>
          <w:noProof/>
          <w:webHidden/>
          <w:color w:val="auto"/>
        </w:rPr>
        <w:t>39</w:t>
      </w:r>
      <w:r w:rsidRPr="004764AA">
        <w:rPr>
          <w:noProof/>
          <w:webHidden/>
          <w:color w:val="auto"/>
        </w:rPr>
        <w:fldChar w:fldCharType="end"/>
      </w:r>
    </w:p>
    <w:p w14:paraId="661290DA" w14:textId="1FC2D31C"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5.3</w:t>
      </w:r>
      <w:r w:rsidRPr="004764AA">
        <w:rPr>
          <w:rFonts w:asciiTheme="minorHAnsi" w:eastAsiaTheme="minorEastAsia" w:hAnsiTheme="minorHAnsi" w:cstheme="minorBidi"/>
          <w:noProof/>
          <w:color w:val="auto"/>
          <w:sz w:val="22"/>
        </w:rPr>
        <w:tab/>
      </w:r>
      <w:r w:rsidRPr="004764AA">
        <w:rPr>
          <w:noProof/>
          <w:color w:val="auto"/>
        </w:rPr>
        <w:t>SHMA findings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_Toc64026812 \h </w:instrText>
      </w:r>
      <w:r w:rsidRPr="004764AA">
        <w:rPr>
          <w:noProof/>
          <w:webHidden/>
          <w:color w:val="auto"/>
        </w:rPr>
      </w:r>
      <w:r w:rsidRPr="004764AA">
        <w:rPr>
          <w:noProof/>
          <w:webHidden/>
          <w:color w:val="auto"/>
        </w:rPr>
        <w:fldChar w:fldCharType="separate"/>
      </w:r>
      <w:r w:rsidRPr="004764AA">
        <w:rPr>
          <w:noProof/>
          <w:webHidden/>
          <w:color w:val="auto"/>
        </w:rPr>
        <w:t>42</w:t>
      </w:r>
      <w:r w:rsidRPr="004764AA">
        <w:rPr>
          <w:noProof/>
          <w:webHidden/>
          <w:color w:val="auto"/>
        </w:rPr>
        <w:fldChar w:fldCharType="end"/>
      </w:r>
    </w:p>
    <w:p w14:paraId="714BE810" w14:textId="77F739F9"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5.4</w:t>
      </w:r>
      <w:r w:rsidRPr="004764AA">
        <w:rPr>
          <w:rFonts w:asciiTheme="minorHAnsi" w:eastAsiaTheme="minorEastAsia" w:hAnsiTheme="minorHAnsi" w:cstheme="minorBidi"/>
          <w:noProof/>
          <w:color w:val="auto"/>
          <w:sz w:val="22"/>
        </w:rPr>
        <w:tab/>
      </w:r>
      <w:r w:rsidRPr="004764AA">
        <w:rPr>
          <w:noProof/>
          <w:color w:val="auto"/>
        </w:rPr>
        <w:t>Household composition and age structure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_Toc64026813 \h </w:instrText>
      </w:r>
      <w:r w:rsidRPr="004764AA">
        <w:rPr>
          <w:noProof/>
          <w:webHidden/>
          <w:color w:val="auto"/>
        </w:rPr>
      </w:r>
      <w:r w:rsidRPr="004764AA">
        <w:rPr>
          <w:noProof/>
          <w:webHidden/>
          <w:color w:val="auto"/>
        </w:rPr>
        <w:fldChar w:fldCharType="separate"/>
      </w:r>
      <w:r w:rsidRPr="004764AA">
        <w:rPr>
          <w:noProof/>
          <w:webHidden/>
          <w:color w:val="auto"/>
        </w:rPr>
        <w:t>42</w:t>
      </w:r>
      <w:r w:rsidRPr="004764AA">
        <w:rPr>
          <w:noProof/>
          <w:webHidden/>
          <w:color w:val="auto"/>
        </w:rPr>
        <w:fldChar w:fldCharType="end"/>
      </w:r>
    </w:p>
    <w:p w14:paraId="0812AB19" w14:textId="4281FA44"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5.4.1</w:t>
      </w:r>
      <w:r w:rsidRPr="004764AA">
        <w:rPr>
          <w:rFonts w:asciiTheme="minorHAnsi" w:eastAsiaTheme="minorEastAsia" w:hAnsiTheme="minorHAnsi" w:cstheme="minorBidi"/>
          <w:noProof/>
          <w:color w:val="auto"/>
          <w:sz w:val="22"/>
        </w:rPr>
        <w:tab/>
      </w:r>
      <w:r w:rsidRPr="004764AA">
        <w:rPr>
          <w:noProof/>
          <w:color w:val="auto"/>
        </w:rPr>
        <w:t>Age structure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_Toc64026814 \h </w:instrText>
      </w:r>
      <w:r w:rsidRPr="004764AA">
        <w:rPr>
          <w:noProof/>
          <w:webHidden/>
          <w:color w:val="auto"/>
        </w:rPr>
      </w:r>
      <w:r w:rsidRPr="004764AA">
        <w:rPr>
          <w:noProof/>
          <w:webHidden/>
          <w:color w:val="auto"/>
        </w:rPr>
        <w:fldChar w:fldCharType="separate"/>
      </w:r>
      <w:r w:rsidRPr="004764AA">
        <w:rPr>
          <w:noProof/>
          <w:webHidden/>
          <w:color w:val="auto"/>
        </w:rPr>
        <w:t>42</w:t>
      </w:r>
      <w:r w:rsidRPr="004764AA">
        <w:rPr>
          <w:noProof/>
          <w:webHidden/>
          <w:color w:val="auto"/>
        </w:rPr>
        <w:fldChar w:fldCharType="end"/>
      </w:r>
    </w:p>
    <w:p w14:paraId="4F3A862B" w14:textId="4352117C"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5.4.2</w:t>
      </w:r>
      <w:r w:rsidRPr="004764AA">
        <w:rPr>
          <w:rFonts w:asciiTheme="minorHAnsi" w:eastAsiaTheme="minorEastAsia" w:hAnsiTheme="minorHAnsi" w:cstheme="minorBidi"/>
          <w:noProof/>
          <w:color w:val="auto"/>
          <w:sz w:val="22"/>
        </w:rPr>
        <w:tab/>
      </w:r>
      <w:r w:rsidRPr="004764AA">
        <w:rPr>
          <w:noProof/>
          <w:color w:val="auto"/>
        </w:rPr>
        <w:t>Household composition</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_Toc64026815 \h </w:instrText>
      </w:r>
      <w:r w:rsidRPr="004764AA">
        <w:rPr>
          <w:noProof/>
          <w:webHidden/>
          <w:color w:val="auto"/>
        </w:rPr>
      </w:r>
      <w:r w:rsidRPr="004764AA">
        <w:rPr>
          <w:noProof/>
          <w:webHidden/>
          <w:color w:val="auto"/>
        </w:rPr>
        <w:fldChar w:fldCharType="separate"/>
      </w:r>
      <w:r w:rsidRPr="004764AA">
        <w:rPr>
          <w:noProof/>
          <w:webHidden/>
          <w:color w:val="auto"/>
        </w:rPr>
        <w:t>43</w:t>
      </w:r>
      <w:r w:rsidRPr="004764AA">
        <w:rPr>
          <w:noProof/>
          <w:webHidden/>
          <w:color w:val="auto"/>
        </w:rPr>
        <w:fldChar w:fldCharType="end"/>
      </w:r>
    </w:p>
    <w:p w14:paraId="133A0048" w14:textId="77735266"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5.5</w:t>
      </w:r>
      <w:r w:rsidRPr="004764AA">
        <w:rPr>
          <w:rFonts w:asciiTheme="minorHAnsi" w:eastAsiaTheme="minorEastAsia" w:hAnsiTheme="minorHAnsi" w:cstheme="minorBidi"/>
          <w:noProof/>
          <w:color w:val="auto"/>
          <w:sz w:val="22"/>
        </w:rPr>
        <w:tab/>
      </w:r>
      <w:r w:rsidRPr="004764AA">
        <w:rPr>
          <w:noProof/>
          <w:color w:val="auto"/>
        </w:rPr>
        <w:t>Dwelling mix determined by life-stage modelling</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_Toc64026816 \h </w:instrText>
      </w:r>
      <w:r w:rsidRPr="004764AA">
        <w:rPr>
          <w:noProof/>
          <w:webHidden/>
          <w:color w:val="auto"/>
        </w:rPr>
      </w:r>
      <w:r w:rsidRPr="004764AA">
        <w:rPr>
          <w:noProof/>
          <w:webHidden/>
          <w:color w:val="auto"/>
        </w:rPr>
        <w:fldChar w:fldCharType="separate"/>
      </w:r>
      <w:r w:rsidRPr="004764AA">
        <w:rPr>
          <w:noProof/>
          <w:webHidden/>
          <w:color w:val="auto"/>
        </w:rPr>
        <w:t>44</w:t>
      </w:r>
      <w:r w:rsidRPr="004764AA">
        <w:rPr>
          <w:noProof/>
          <w:webHidden/>
          <w:color w:val="auto"/>
        </w:rPr>
        <w:fldChar w:fldCharType="end"/>
      </w:r>
    </w:p>
    <w:p w14:paraId="332989C5" w14:textId="4F321701"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5.6</w:t>
      </w:r>
      <w:r w:rsidRPr="004764AA">
        <w:rPr>
          <w:rFonts w:asciiTheme="minorHAnsi" w:eastAsiaTheme="minorEastAsia" w:hAnsiTheme="minorHAnsi" w:cstheme="minorBidi"/>
          <w:noProof/>
          <w:color w:val="auto"/>
          <w:sz w:val="22"/>
        </w:rPr>
        <w:tab/>
      </w:r>
      <w:r w:rsidRPr="004764AA">
        <w:rPr>
          <w:noProof/>
          <w:color w:val="auto"/>
        </w:rPr>
        <w:t>Conclusions- Type and Size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_Toc64026817 \h </w:instrText>
      </w:r>
      <w:r w:rsidRPr="004764AA">
        <w:rPr>
          <w:noProof/>
          <w:webHidden/>
          <w:color w:val="auto"/>
        </w:rPr>
      </w:r>
      <w:r w:rsidRPr="004764AA">
        <w:rPr>
          <w:noProof/>
          <w:webHidden/>
          <w:color w:val="auto"/>
        </w:rPr>
        <w:fldChar w:fldCharType="separate"/>
      </w:r>
      <w:r w:rsidRPr="004764AA">
        <w:rPr>
          <w:noProof/>
          <w:webHidden/>
          <w:color w:val="auto"/>
        </w:rPr>
        <w:t>47</w:t>
      </w:r>
      <w:r w:rsidRPr="004764AA">
        <w:rPr>
          <w:noProof/>
          <w:webHidden/>
          <w:color w:val="auto"/>
        </w:rPr>
        <w:fldChar w:fldCharType="end"/>
      </w:r>
    </w:p>
    <w:p w14:paraId="5B972C92" w14:textId="3EAFC6DD" w:rsidR="004764AA" w:rsidRPr="004764AA" w:rsidRDefault="004764AA">
      <w:pPr>
        <w:pStyle w:val="TOC1"/>
        <w:rPr>
          <w:rFonts w:asciiTheme="minorHAnsi" w:eastAsiaTheme="minorEastAsia" w:hAnsiTheme="minorHAnsi" w:cstheme="minorBidi"/>
          <w:noProof/>
          <w:color w:val="auto"/>
          <w:sz w:val="22"/>
        </w:rPr>
      </w:pPr>
      <w:r w:rsidRPr="004764AA">
        <w:rPr>
          <w:noProof/>
          <w:color w:val="auto"/>
        </w:rPr>
        <w:t>6.</w:t>
      </w:r>
      <w:r w:rsidRPr="004764AA">
        <w:rPr>
          <w:rFonts w:asciiTheme="minorHAnsi" w:eastAsiaTheme="minorEastAsia" w:hAnsiTheme="minorHAnsi" w:cstheme="minorBidi"/>
          <w:noProof/>
          <w:color w:val="auto"/>
          <w:sz w:val="22"/>
        </w:rPr>
        <w:tab/>
      </w:r>
      <w:r w:rsidRPr="004764AA">
        <w:rPr>
          <w:noProof/>
          <w:color w:val="auto"/>
        </w:rPr>
        <w:t>RQ 3: Specialist housing for older people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_Toc64026818 \h </w:instrText>
      </w:r>
      <w:r w:rsidRPr="004764AA">
        <w:rPr>
          <w:noProof/>
          <w:webHidden/>
          <w:color w:val="auto"/>
        </w:rPr>
      </w:r>
      <w:r w:rsidRPr="004764AA">
        <w:rPr>
          <w:noProof/>
          <w:webHidden/>
          <w:color w:val="auto"/>
        </w:rPr>
        <w:fldChar w:fldCharType="separate"/>
      </w:r>
      <w:r w:rsidRPr="004764AA">
        <w:rPr>
          <w:noProof/>
          <w:webHidden/>
          <w:color w:val="auto"/>
        </w:rPr>
        <w:t>49</w:t>
      </w:r>
      <w:r w:rsidRPr="004764AA">
        <w:rPr>
          <w:noProof/>
          <w:webHidden/>
          <w:color w:val="auto"/>
        </w:rPr>
        <w:fldChar w:fldCharType="end"/>
      </w:r>
    </w:p>
    <w:p w14:paraId="5195CD5B" w14:textId="216B19CD"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6.1</w:t>
      </w:r>
      <w:r w:rsidRPr="004764AA">
        <w:rPr>
          <w:rFonts w:asciiTheme="minorHAnsi" w:eastAsiaTheme="minorEastAsia" w:hAnsiTheme="minorHAnsi" w:cstheme="minorBidi"/>
          <w:noProof/>
          <w:color w:val="auto"/>
          <w:sz w:val="22"/>
        </w:rPr>
        <w:tab/>
      </w:r>
      <w:r w:rsidRPr="004764AA">
        <w:rPr>
          <w:noProof/>
          <w:color w:val="auto"/>
        </w:rPr>
        <w:t>Introduction</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_Toc64026819 \h </w:instrText>
      </w:r>
      <w:r w:rsidRPr="004764AA">
        <w:rPr>
          <w:noProof/>
          <w:webHidden/>
          <w:color w:val="auto"/>
        </w:rPr>
      </w:r>
      <w:r w:rsidRPr="004764AA">
        <w:rPr>
          <w:noProof/>
          <w:webHidden/>
          <w:color w:val="auto"/>
        </w:rPr>
        <w:fldChar w:fldCharType="separate"/>
      </w:r>
      <w:r w:rsidRPr="004764AA">
        <w:rPr>
          <w:noProof/>
          <w:webHidden/>
          <w:color w:val="auto"/>
        </w:rPr>
        <w:t>49</w:t>
      </w:r>
      <w:r w:rsidRPr="004764AA">
        <w:rPr>
          <w:noProof/>
          <w:webHidden/>
          <w:color w:val="auto"/>
        </w:rPr>
        <w:fldChar w:fldCharType="end"/>
      </w:r>
    </w:p>
    <w:p w14:paraId="7AF4009C" w14:textId="04FC9270"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6.2</w:t>
      </w:r>
      <w:r w:rsidRPr="004764AA">
        <w:rPr>
          <w:rFonts w:asciiTheme="minorHAnsi" w:eastAsiaTheme="minorEastAsia" w:hAnsiTheme="minorHAnsi" w:cstheme="minorBidi"/>
          <w:noProof/>
          <w:color w:val="auto"/>
          <w:sz w:val="22"/>
        </w:rPr>
        <w:tab/>
      </w:r>
      <w:r w:rsidRPr="004764AA">
        <w:rPr>
          <w:noProof/>
          <w:color w:val="auto"/>
        </w:rPr>
        <w:t>Housing for older people - context</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_Toc64026820 \h </w:instrText>
      </w:r>
      <w:r w:rsidRPr="004764AA">
        <w:rPr>
          <w:noProof/>
          <w:webHidden/>
          <w:color w:val="auto"/>
        </w:rPr>
      </w:r>
      <w:r w:rsidRPr="004764AA">
        <w:rPr>
          <w:noProof/>
          <w:webHidden/>
          <w:color w:val="auto"/>
        </w:rPr>
        <w:fldChar w:fldCharType="separate"/>
      </w:r>
      <w:r w:rsidRPr="004764AA">
        <w:rPr>
          <w:noProof/>
          <w:webHidden/>
          <w:color w:val="auto"/>
        </w:rPr>
        <w:t>50</w:t>
      </w:r>
      <w:r w:rsidRPr="004764AA">
        <w:rPr>
          <w:noProof/>
          <w:webHidden/>
          <w:color w:val="auto"/>
        </w:rPr>
        <w:fldChar w:fldCharType="end"/>
      </w:r>
    </w:p>
    <w:p w14:paraId="7DC857BB" w14:textId="350ABADC"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6.3</w:t>
      </w:r>
      <w:r w:rsidRPr="004764AA">
        <w:rPr>
          <w:rFonts w:asciiTheme="minorHAnsi" w:eastAsiaTheme="minorEastAsia" w:hAnsiTheme="minorHAnsi" w:cstheme="minorBidi"/>
          <w:noProof/>
          <w:color w:val="auto"/>
          <w:sz w:val="22"/>
        </w:rPr>
        <w:tab/>
      </w:r>
      <w:r w:rsidRPr="004764AA">
        <w:rPr>
          <w:noProof/>
          <w:color w:val="auto"/>
        </w:rPr>
        <w:t>Approach</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_Toc64026821 \h </w:instrText>
      </w:r>
      <w:r w:rsidRPr="004764AA">
        <w:rPr>
          <w:noProof/>
          <w:webHidden/>
          <w:color w:val="auto"/>
        </w:rPr>
      </w:r>
      <w:r w:rsidRPr="004764AA">
        <w:rPr>
          <w:noProof/>
          <w:webHidden/>
          <w:color w:val="auto"/>
        </w:rPr>
        <w:fldChar w:fldCharType="separate"/>
      </w:r>
      <w:r w:rsidRPr="004764AA">
        <w:rPr>
          <w:noProof/>
          <w:webHidden/>
          <w:color w:val="auto"/>
        </w:rPr>
        <w:t>51</w:t>
      </w:r>
      <w:r w:rsidRPr="004764AA">
        <w:rPr>
          <w:noProof/>
          <w:webHidden/>
          <w:color w:val="auto"/>
        </w:rPr>
        <w:fldChar w:fldCharType="end"/>
      </w:r>
    </w:p>
    <w:p w14:paraId="09DA92E7" w14:textId="600273FF"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6.3.1</w:t>
      </w:r>
      <w:r w:rsidRPr="004764AA">
        <w:rPr>
          <w:rFonts w:asciiTheme="minorHAnsi" w:eastAsiaTheme="minorEastAsia" w:hAnsiTheme="minorHAnsi" w:cstheme="minorBidi"/>
          <w:noProof/>
          <w:color w:val="auto"/>
          <w:sz w:val="22"/>
        </w:rPr>
        <w:tab/>
      </w:r>
      <w:r w:rsidRPr="004764AA">
        <w:rPr>
          <w:noProof/>
          <w:color w:val="auto"/>
        </w:rPr>
        <w:t>Current supply of specialist housing for older people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_Toc64026822 \h </w:instrText>
      </w:r>
      <w:r w:rsidRPr="004764AA">
        <w:rPr>
          <w:noProof/>
          <w:webHidden/>
          <w:color w:val="auto"/>
        </w:rPr>
      </w:r>
      <w:r w:rsidRPr="004764AA">
        <w:rPr>
          <w:noProof/>
          <w:webHidden/>
          <w:color w:val="auto"/>
        </w:rPr>
        <w:fldChar w:fldCharType="separate"/>
      </w:r>
      <w:r w:rsidRPr="004764AA">
        <w:rPr>
          <w:noProof/>
          <w:webHidden/>
          <w:color w:val="auto"/>
        </w:rPr>
        <w:t>52</w:t>
      </w:r>
      <w:r w:rsidRPr="004764AA">
        <w:rPr>
          <w:noProof/>
          <w:webHidden/>
          <w:color w:val="auto"/>
        </w:rPr>
        <w:fldChar w:fldCharType="end"/>
      </w:r>
    </w:p>
    <w:p w14:paraId="21426609" w14:textId="4754DCC6"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6.3.2</w:t>
      </w:r>
      <w:r w:rsidRPr="004764AA">
        <w:rPr>
          <w:rFonts w:asciiTheme="minorHAnsi" w:eastAsiaTheme="minorEastAsia" w:hAnsiTheme="minorHAnsi" w:cstheme="minorBidi"/>
          <w:noProof/>
          <w:color w:val="auto"/>
          <w:sz w:val="22"/>
        </w:rPr>
        <w:tab/>
      </w:r>
      <w:r w:rsidRPr="004764AA">
        <w:rPr>
          <w:noProof/>
          <w:color w:val="auto"/>
        </w:rPr>
        <w:t>Tenure-led projections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_Toc64026823 \h </w:instrText>
      </w:r>
      <w:r w:rsidRPr="004764AA">
        <w:rPr>
          <w:noProof/>
          <w:webHidden/>
          <w:color w:val="auto"/>
        </w:rPr>
      </w:r>
      <w:r w:rsidRPr="004764AA">
        <w:rPr>
          <w:noProof/>
          <w:webHidden/>
          <w:color w:val="auto"/>
        </w:rPr>
        <w:fldChar w:fldCharType="separate"/>
      </w:r>
      <w:r w:rsidRPr="004764AA">
        <w:rPr>
          <w:noProof/>
          <w:webHidden/>
          <w:color w:val="auto"/>
        </w:rPr>
        <w:t>53</w:t>
      </w:r>
      <w:r w:rsidRPr="004764AA">
        <w:rPr>
          <w:noProof/>
          <w:webHidden/>
          <w:color w:val="auto"/>
        </w:rPr>
        <w:fldChar w:fldCharType="end"/>
      </w:r>
    </w:p>
    <w:p w14:paraId="0B513101" w14:textId="267F800F" w:rsidR="004764AA" w:rsidRPr="004764AA" w:rsidRDefault="004764AA">
      <w:pPr>
        <w:pStyle w:val="TOC3"/>
        <w:tabs>
          <w:tab w:val="left" w:pos="1260"/>
        </w:tabs>
        <w:rPr>
          <w:rFonts w:asciiTheme="minorHAnsi" w:eastAsiaTheme="minorEastAsia" w:hAnsiTheme="minorHAnsi" w:cstheme="minorBidi"/>
          <w:noProof/>
          <w:color w:val="auto"/>
          <w:sz w:val="22"/>
        </w:rPr>
      </w:pPr>
      <w:r w:rsidRPr="004764AA">
        <w:rPr>
          <w:noProof/>
          <w:color w:val="auto"/>
        </w:rPr>
        <w:t>6.3.3</w:t>
      </w:r>
      <w:r w:rsidRPr="004764AA">
        <w:rPr>
          <w:rFonts w:asciiTheme="minorHAnsi" w:eastAsiaTheme="minorEastAsia" w:hAnsiTheme="minorHAnsi" w:cstheme="minorBidi"/>
          <w:noProof/>
          <w:color w:val="auto"/>
          <w:sz w:val="22"/>
        </w:rPr>
        <w:tab/>
      </w:r>
      <w:r w:rsidRPr="004764AA">
        <w:rPr>
          <w:noProof/>
          <w:color w:val="auto"/>
        </w:rPr>
        <w:t>Housing LIN-recommended provision</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_Toc64026824 \h </w:instrText>
      </w:r>
      <w:r w:rsidRPr="004764AA">
        <w:rPr>
          <w:noProof/>
          <w:webHidden/>
          <w:color w:val="auto"/>
        </w:rPr>
      </w:r>
      <w:r w:rsidRPr="004764AA">
        <w:rPr>
          <w:noProof/>
          <w:webHidden/>
          <w:color w:val="auto"/>
        </w:rPr>
        <w:fldChar w:fldCharType="separate"/>
      </w:r>
      <w:r w:rsidRPr="004764AA">
        <w:rPr>
          <w:noProof/>
          <w:webHidden/>
          <w:color w:val="auto"/>
        </w:rPr>
        <w:t>55</w:t>
      </w:r>
      <w:r w:rsidRPr="004764AA">
        <w:rPr>
          <w:noProof/>
          <w:webHidden/>
          <w:color w:val="auto"/>
        </w:rPr>
        <w:fldChar w:fldCharType="end"/>
      </w:r>
    </w:p>
    <w:p w14:paraId="44D19CA6" w14:textId="24CFC56B"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6.4</w:t>
      </w:r>
      <w:r w:rsidRPr="004764AA">
        <w:rPr>
          <w:rFonts w:asciiTheme="minorHAnsi" w:eastAsiaTheme="minorEastAsia" w:hAnsiTheme="minorHAnsi" w:cstheme="minorBidi"/>
          <w:noProof/>
          <w:color w:val="auto"/>
          <w:sz w:val="22"/>
        </w:rPr>
        <w:tab/>
      </w:r>
      <w:r w:rsidRPr="004764AA">
        <w:rPr>
          <w:noProof/>
          <w:color w:val="auto"/>
        </w:rPr>
        <w:t>Conclusions- Specialist Housing for the Older People</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_Toc64026825 \h </w:instrText>
      </w:r>
      <w:r w:rsidRPr="004764AA">
        <w:rPr>
          <w:noProof/>
          <w:webHidden/>
          <w:color w:val="auto"/>
        </w:rPr>
      </w:r>
      <w:r w:rsidRPr="004764AA">
        <w:rPr>
          <w:noProof/>
          <w:webHidden/>
          <w:color w:val="auto"/>
        </w:rPr>
        <w:fldChar w:fldCharType="separate"/>
      </w:r>
      <w:r w:rsidRPr="004764AA">
        <w:rPr>
          <w:noProof/>
          <w:webHidden/>
          <w:color w:val="auto"/>
        </w:rPr>
        <w:t>56</w:t>
      </w:r>
      <w:r w:rsidRPr="004764AA">
        <w:rPr>
          <w:noProof/>
          <w:webHidden/>
          <w:color w:val="auto"/>
        </w:rPr>
        <w:fldChar w:fldCharType="end"/>
      </w:r>
    </w:p>
    <w:p w14:paraId="3873695E" w14:textId="264328F9" w:rsidR="004764AA" w:rsidRPr="004764AA" w:rsidRDefault="004764AA">
      <w:pPr>
        <w:pStyle w:val="TOC1"/>
        <w:rPr>
          <w:rFonts w:asciiTheme="minorHAnsi" w:eastAsiaTheme="minorEastAsia" w:hAnsiTheme="minorHAnsi" w:cstheme="minorBidi"/>
          <w:noProof/>
          <w:color w:val="auto"/>
          <w:sz w:val="22"/>
        </w:rPr>
      </w:pPr>
      <w:r w:rsidRPr="004764AA">
        <w:rPr>
          <w:noProof/>
          <w:color w:val="auto"/>
          <w:lang w:val="en-US"/>
        </w:rPr>
        <w:t>7.</w:t>
      </w:r>
      <w:r w:rsidRPr="004764AA">
        <w:rPr>
          <w:rFonts w:asciiTheme="minorHAnsi" w:eastAsiaTheme="minorEastAsia" w:hAnsiTheme="minorHAnsi" w:cstheme="minorBidi"/>
          <w:noProof/>
          <w:color w:val="auto"/>
          <w:sz w:val="22"/>
        </w:rPr>
        <w:tab/>
      </w:r>
      <w:r w:rsidRPr="004764AA">
        <w:rPr>
          <w:noProof/>
          <w:color w:val="auto"/>
          <w:lang w:val="en-US"/>
        </w:rPr>
        <w:t>Conclusions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_Toc64026826 \h </w:instrText>
      </w:r>
      <w:r w:rsidRPr="004764AA">
        <w:rPr>
          <w:noProof/>
          <w:webHidden/>
          <w:color w:val="auto"/>
        </w:rPr>
      </w:r>
      <w:r w:rsidRPr="004764AA">
        <w:rPr>
          <w:noProof/>
          <w:webHidden/>
          <w:color w:val="auto"/>
        </w:rPr>
        <w:fldChar w:fldCharType="separate"/>
      </w:r>
      <w:r w:rsidRPr="004764AA">
        <w:rPr>
          <w:noProof/>
          <w:webHidden/>
          <w:color w:val="auto"/>
        </w:rPr>
        <w:t>58</w:t>
      </w:r>
      <w:r w:rsidRPr="004764AA">
        <w:rPr>
          <w:noProof/>
          <w:webHidden/>
          <w:color w:val="auto"/>
        </w:rPr>
        <w:fldChar w:fldCharType="end"/>
      </w:r>
    </w:p>
    <w:p w14:paraId="3E9E058D" w14:textId="4D99D0A0"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7.1</w:t>
      </w:r>
      <w:r w:rsidRPr="004764AA">
        <w:rPr>
          <w:rFonts w:asciiTheme="minorHAnsi" w:eastAsiaTheme="minorEastAsia" w:hAnsiTheme="minorHAnsi" w:cstheme="minorBidi"/>
          <w:noProof/>
          <w:color w:val="auto"/>
          <w:sz w:val="22"/>
        </w:rPr>
        <w:tab/>
      </w:r>
      <w:r w:rsidRPr="004764AA">
        <w:rPr>
          <w:noProof/>
          <w:color w:val="auto"/>
        </w:rPr>
        <w:t>Overview</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_Toc64026827 \h </w:instrText>
      </w:r>
      <w:r w:rsidRPr="004764AA">
        <w:rPr>
          <w:noProof/>
          <w:webHidden/>
          <w:color w:val="auto"/>
        </w:rPr>
      </w:r>
      <w:r w:rsidRPr="004764AA">
        <w:rPr>
          <w:noProof/>
          <w:webHidden/>
          <w:color w:val="auto"/>
        </w:rPr>
        <w:fldChar w:fldCharType="separate"/>
      </w:r>
      <w:r w:rsidRPr="004764AA">
        <w:rPr>
          <w:noProof/>
          <w:webHidden/>
          <w:color w:val="auto"/>
        </w:rPr>
        <w:t>58</w:t>
      </w:r>
      <w:r w:rsidRPr="004764AA">
        <w:rPr>
          <w:noProof/>
          <w:webHidden/>
          <w:color w:val="auto"/>
        </w:rPr>
        <w:fldChar w:fldCharType="end"/>
      </w:r>
    </w:p>
    <w:p w14:paraId="4F47DA39" w14:textId="27A9991D"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7.2</w:t>
      </w:r>
      <w:r w:rsidRPr="004764AA">
        <w:rPr>
          <w:rFonts w:asciiTheme="minorHAnsi" w:eastAsiaTheme="minorEastAsia" w:hAnsiTheme="minorHAnsi" w:cstheme="minorBidi"/>
          <w:noProof/>
          <w:color w:val="auto"/>
          <w:sz w:val="22"/>
        </w:rPr>
        <w:tab/>
      </w:r>
      <w:r w:rsidRPr="004764AA">
        <w:rPr>
          <w:noProof/>
          <w:color w:val="auto"/>
        </w:rPr>
        <w:t>Recommendations for next steps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_Toc64026828 \h </w:instrText>
      </w:r>
      <w:r w:rsidRPr="004764AA">
        <w:rPr>
          <w:noProof/>
          <w:webHidden/>
          <w:color w:val="auto"/>
        </w:rPr>
      </w:r>
      <w:r w:rsidRPr="004764AA">
        <w:rPr>
          <w:noProof/>
          <w:webHidden/>
          <w:color w:val="auto"/>
        </w:rPr>
        <w:fldChar w:fldCharType="separate"/>
      </w:r>
      <w:r w:rsidRPr="004764AA">
        <w:rPr>
          <w:noProof/>
          <w:webHidden/>
          <w:color w:val="auto"/>
        </w:rPr>
        <w:t>61</w:t>
      </w:r>
      <w:r w:rsidRPr="004764AA">
        <w:rPr>
          <w:noProof/>
          <w:webHidden/>
          <w:color w:val="auto"/>
        </w:rPr>
        <w:fldChar w:fldCharType="end"/>
      </w:r>
    </w:p>
    <w:p w14:paraId="128B9B0B" w14:textId="65E44FAF" w:rsidR="004764AA" w:rsidRPr="004764AA" w:rsidRDefault="004764AA">
      <w:pPr>
        <w:pStyle w:val="TOC1"/>
        <w:rPr>
          <w:rFonts w:asciiTheme="minorHAnsi" w:eastAsiaTheme="minorEastAsia" w:hAnsiTheme="minorHAnsi" w:cstheme="minorBidi"/>
          <w:noProof/>
          <w:color w:val="auto"/>
          <w:sz w:val="22"/>
        </w:rPr>
      </w:pPr>
      <w:r w:rsidRPr="004764AA">
        <w:rPr>
          <w:noProof/>
          <w:color w:val="auto"/>
        </w:rPr>
        <w:t>Appendix A : Calculation of Affordability Thresholds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_Toc64026829 \h </w:instrText>
      </w:r>
      <w:r w:rsidRPr="004764AA">
        <w:rPr>
          <w:noProof/>
          <w:webHidden/>
          <w:color w:val="auto"/>
        </w:rPr>
      </w:r>
      <w:r w:rsidRPr="004764AA">
        <w:rPr>
          <w:noProof/>
          <w:webHidden/>
          <w:color w:val="auto"/>
        </w:rPr>
        <w:fldChar w:fldCharType="separate"/>
      </w:r>
      <w:r w:rsidRPr="004764AA">
        <w:rPr>
          <w:noProof/>
          <w:webHidden/>
          <w:color w:val="auto"/>
        </w:rPr>
        <w:t>63</w:t>
      </w:r>
      <w:r w:rsidRPr="004764AA">
        <w:rPr>
          <w:noProof/>
          <w:webHidden/>
          <w:color w:val="auto"/>
        </w:rPr>
        <w:fldChar w:fldCharType="end"/>
      </w:r>
    </w:p>
    <w:p w14:paraId="10C7C2C6" w14:textId="20136726"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A.1</w:t>
      </w:r>
      <w:r w:rsidRPr="004764AA">
        <w:rPr>
          <w:rFonts w:asciiTheme="minorHAnsi" w:eastAsiaTheme="minorEastAsia" w:hAnsiTheme="minorHAnsi" w:cstheme="minorBidi"/>
          <w:noProof/>
          <w:color w:val="auto"/>
          <w:sz w:val="22"/>
        </w:rPr>
        <w:tab/>
      </w:r>
      <w:r w:rsidRPr="004764AA">
        <w:rPr>
          <w:noProof/>
          <w:color w:val="auto"/>
        </w:rPr>
        <w:t>Assessment geography</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_Toc64026830 \h </w:instrText>
      </w:r>
      <w:r w:rsidRPr="004764AA">
        <w:rPr>
          <w:noProof/>
          <w:webHidden/>
          <w:color w:val="auto"/>
        </w:rPr>
      </w:r>
      <w:r w:rsidRPr="004764AA">
        <w:rPr>
          <w:noProof/>
          <w:webHidden/>
          <w:color w:val="auto"/>
        </w:rPr>
        <w:fldChar w:fldCharType="separate"/>
      </w:r>
      <w:r w:rsidRPr="004764AA">
        <w:rPr>
          <w:noProof/>
          <w:webHidden/>
          <w:color w:val="auto"/>
        </w:rPr>
        <w:t>63</w:t>
      </w:r>
      <w:r w:rsidRPr="004764AA">
        <w:rPr>
          <w:noProof/>
          <w:webHidden/>
          <w:color w:val="auto"/>
        </w:rPr>
        <w:fldChar w:fldCharType="end"/>
      </w:r>
    </w:p>
    <w:p w14:paraId="5A87EE3C" w14:textId="22C7CFF3"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A.2</w:t>
      </w:r>
      <w:r w:rsidRPr="004764AA">
        <w:rPr>
          <w:rFonts w:asciiTheme="minorHAnsi" w:eastAsiaTheme="minorEastAsia" w:hAnsiTheme="minorHAnsi" w:cstheme="minorBidi"/>
          <w:noProof/>
          <w:color w:val="auto"/>
          <w:sz w:val="22"/>
        </w:rPr>
        <w:tab/>
      </w:r>
      <w:r w:rsidRPr="004764AA">
        <w:rPr>
          <w:noProof/>
          <w:color w:val="auto"/>
        </w:rPr>
        <w:t>Market housing</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_Toc64026831 \h </w:instrText>
      </w:r>
      <w:r w:rsidRPr="004764AA">
        <w:rPr>
          <w:noProof/>
          <w:webHidden/>
          <w:color w:val="auto"/>
        </w:rPr>
      </w:r>
      <w:r w:rsidRPr="004764AA">
        <w:rPr>
          <w:noProof/>
          <w:webHidden/>
          <w:color w:val="auto"/>
        </w:rPr>
        <w:fldChar w:fldCharType="separate"/>
      </w:r>
      <w:r w:rsidRPr="004764AA">
        <w:rPr>
          <w:noProof/>
          <w:webHidden/>
          <w:color w:val="auto"/>
        </w:rPr>
        <w:t>64</w:t>
      </w:r>
      <w:r w:rsidRPr="004764AA">
        <w:rPr>
          <w:noProof/>
          <w:webHidden/>
          <w:color w:val="auto"/>
        </w:rPr>
        <w:fldChar w:fldCharType="end"/>
      </w:r>
    </w:p>
    <w:p w14:paraId="2BCB5881" w14:textId="0185A109"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i)</w:t>
      </w:r>
      <w:r w:rsidRPr="004764AA">
        <w:rPr>
          <w:rFonts w:asciiTheme="minorHAnsi" w:eastAsiaTheme="minorEastAsia" w:hAnsiTheme="minorHAnsi" w:cstheme="minorBidi"/>
          <w:noProof/>
          <w:color w:val="auto"/>
          <w:sz w:val="22"/>
        </w:rPr>
        <w:tab/>
      </w:r>
      <w:r w:rsidRPr="004764AA">
        <w:rPr>
          <w:noProof/>
          <w:color w:val="auto"/>
        </w:rPr>
        <w:t>Market sales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_Toc64026832 \h </w:instrText>
      </w:r>
      <w:r w:rsidRPr="004764AA">
        <w:rPr>
          <w:noProof/>
          <w:webHidden/>
          <w:color w:val="auto"/>
        </w:rPr>
      </w:r>
      <w:r w:rsidRPr="004764AA">
        <w:rPr>
          <w:noProof/>
          <w:webHidden/>
          <w:color w:val="auto"/>
        </w:rPr>
        <w:fldChar w:fldCharType="separate"/>
      </w:r>
      <w:r w:rsidRPr="004764AA">
        <w:rPr>
          <w:noProof/>
          <w:webHidden/>
          <w:color w:val="auto"/>
        </w:rPr>
        <w:t>65</w:t>
      </w:r>
      <w:r w:rsidRPr="004764AA">
        <w:rPr>
          <w:noProof/>
          <w:webHidden/>
          <w:color w:val="auto"/>
        </w:rPr>
        <w:fldChar w:fldCharType="end"/>
      </w:r>
    </w:p>
    <w:p w14:paraId="330F0523" w14:textId="62C53B61"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ii)</w:t>
      </w:r>
      <w:r w:rsidRPr="004764AA">
        <w:rPr>
          <w:rFonts w:asciiTheme="minorHAnsi" w:eastAsiaTheme="minorEastAsia" w:hAnsiTheme="minorHAnsi" w:cstheme="minorBidi"/>
          <w:noProof/>
          <w:color w:val="auto"/>
          <w:sz w:val="22"/>
        </w:rPr>
        <w:tab/>
      </w:r>
      <w:r w:rsidRPr="004764AA">
        <w:rPr>
          <w:noProof/>
          <w:color w:val="auto"/>
        </w:rPr>
        <w:t>Private Rented Sector (PRS)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_Toc64026833 \h </w:instrText>
      </w:r>
      <w:r w:rsidRPr="004764AA">
        <w:rPr>
          <w:noProof/>
          <w:webHidden/>
          <w:color w:val="auto"/>
        </w:rPr>
      </w:r>
      <w:r w:rsidRPr="004764AA">
        <w:rPr>
          <w:noProof/>
          <w:webHidden/>
          <w:color w:val="auto"/>
        </w:rPr>
        <w:fldChar w:fldCharType="separate"/>
      </w:r>
      <w:r w:rsidRPr="004764AA">
        <w:rPr>
          <w:noProof/>
          <w:webHidden/>
          <w:color w:val="auto"/>
        </w:rPr>
        <w:t>65</w:t>
      </w:r>
      <w:r w:rsidRPr="004764AA">
        <w:rPr>
          <w:noProof/>
          <w:webHidden/>
          <w:color w:val="auto"/>
        </w:rPr>
        <w:fldChar w:fldCharType="end"/>
      </w:r>
    </w:p>
    <w:p w14:paraId="6244D300" w14:textId="452821F5"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A.3</w:t>
      </w:r>
      <w:r w:rsidRPr="004764AA">
        <w:rPr>
          <w:rFonts w:asciiTheme="minorHAnsi" w:eastAsiaTheme="minorEastAsia" w:hAnsiTheme="minorHAnsi" w:cstheme="minorBidi"/>
          <w:noProof/>
          <w:color w:val="auto"/>
          <w:sz w:val="22"/>
        </w:rPr>
        <w:tab/>
      </w:r>
      <w:r w:rsidRPr="004764AA">
        <w:rPr>
          <w:noProof/>
          <w:color w:val="auto"/>
        </w:rPr>
        <w:t>Affordable Housing</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_Toc64026834 \h </w:instrText>
      </w:r>
      <w:r w:rsidRPr="004764AA">
        <w:rPr>
          <w:noProof/>
          <w:webHidden/>
          <w:color w:val="auto"/>
        </w:rPr>
      </w:r>
      <w:r w:rsidRPr="004764AA">
        <w:rPr>
          <w:noProof/>
          <w:webHidden/>
          <w:color w:val="auto"/>
        </w:rPr>
        <w:fldChar w:fldCharType="separate"/>
      </w:r>
      <w:r w:rsidRPr="004764AA">
        <w:rPr>
          <w:noProof/>
          <w:webHidden/>
          <w:color w:val="auto"/>
        </w:rPr>
        <w:t>66</w:t>
      </w:r>
      <w:r w:rsidRPr="004764AA">
        <w:rPr>
          <w:noProof/>
          <w:webHidden/>
          <w:color w:val="auto"/>
        </w:rPr>
        <w:fldChar w:fldCharType="end"/>
      </w:r>
    </w:p>
    <w:p w14:paraId="055F8530" w14:textId="06FBDB4E"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i)</w:t>
      </w:r>
      <w:r w:rsidRPr="004764AA">
        <w:rPr>
          <w:rFonts w:asciiTheme="minorHAnsi" w:eastAsiaTheme="minorEastAsia" w:hAnsiTheme="minorHAnsi" w:cstheme="minorBidi"/>
          <w:noProof/>
          <w:color w:val="auto"/>
          <w:sz w:val="22"/>
        </w:rPr>
        <w:tab/>
      </w:r>
      <w:r w:rsidRPr="004764AA">
        <w:rPr>
          <w:noProof/>
          <w:color w:val="auto"/>
        </w:rPr>
        <w:t>Social rent</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_Toc64026835 \h </w:instrText>
      </w:r>
      <w:r w:rsidRPr="004764AA">
        <w:rPr>
          <w:noProof/>
          <w:webHidden/>
          <w:color w:val="auto"/>
        </w:rPr>
      </w:r>
      <w:r w:rsidRPr="004764AA">
        <w:rPr>
          <w:noProof/>
          <w:webHidden/>
          <w:color w:val="auto"/>
        </w:rPr>
        <w:fldChar w:fldCharType="separate"/>
      </w:r>
      <w:r w:rsidRPr="004764AA">
        <w:rPr>
          <w:noProof/>
          <w:webHidden/>
          <w:color w:val="auto"/>
        </w:rPr>
        <w:t>66</w:t>
      </w:r>
      <w:r w:rsidRPr="004764AA">
        <w:rPr>
          <w:noProof/>
          <w:webHidden/>
          <w:color w:val="auto"/>
        </w:rPr>
        <w:fldChar w:fldCharType="end"/>
      </w:r>
    </w:p>
    <w:p w14:paraId="3C854247" w14:textId="094F3447"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ii)</w:t>
      </w:r>
      <w:r w:rsidRPr="004764AA">
        <w:rPr>
          <w:rFonts w:asciiTheme="minorHAnsi" w:eastAsiaTheme="minorEastAsia" w:hAnsiTheme="minorHAnsi" w:cstheme="minorBidi"/>
          <w:noProof/>
          <w:color w:val="auto"/>
          <w:sz w:val="22"/>
        </w:rPr>
        <w:tab/>
      </w:r>
      <w:r w:rsidRPr="004764AA">
        <w:rPr>
          <w:noProof/>
          <w:color w:val="auto"/>
        </w:rPr>
        <w:t>Affordable rent</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_Toc64026836 \h </w:instrText>
      </w:r>
      <w:r w:rsidRPr="004764AA">
        <w:rPr>
          <w:noProof/>
          <w:webHidden/>
          <w:color w:val="auto"/>
        </w:rPr>
      </w:r>
      <w:r w:rsidRPr="004764AA">
        <w:rPr>
          <w:noProof/>
          <w:webHidden/>
          <w:color w:val="auto"/>
        </w:rPr>
        <w:fldChar w:fldCharType="separate"/>
      </w:r>
      <w:r w:rsidRPr="004764AA">
        <w:rPr>
          <w:noProof/>
          <w:webHidden/>
          <w:color w:val="auto"/>
        </w:rPr>
        <w:t>66</w:t>
      </w:r>
      <w:r w:rsidRPr="004764AA">
        <w:rPr>
          <w:noProof/>
          <w:webHidden/>
          <w:color w:val="auto"/>
        </w:rPr>
        <w:fldChar w:fldCharType="end"/>
      </w:r>
    </w:p>
    <w:p w14:paraId="5F4C6E57" w14:textId="7A74B476" w:rsidR="004764AA" w:rsidRPr="004764AA" w:rsidRDefault="004764AA">
      <w:pPr>
        <w:pStyle w:val="TOC2"/>
        <w:tabs>
          <w:tab w:val="left" w:pos="1134"/>
        </w:tabs>
        <w:rPr>
          <w:rFonts w:asciiTheme="minorHAnsi" w:eastAsiaTheme="minorEastAsia" w:hAnsiTheme="minorHAnsi" w:cstheme="minorBidi"/>
          <w:noProof/>
          <w:color w:val="auto"/>
          <w:sz w:val="22"/>
        </w:rPr>
      </w:pPr>
      <w:r w:rsidRPr="004764AA">
        <w:rPr>
          <w:noProof/>
          <w:color w:val="auto"/>
        </w:rPr>
        <w:t>iii)</w:t>
      </w:r>
      <w:r w:rsidRPr="004764AA">
        <w:rPr>
          <w:rFonts w:asciiTheme="minorHAnsi" w:eastAsiaTheme="minorEastAsia" w:hAnsiTheme="minorHAnsi" w:cstheme="minorBidi"/>
          <w:noProof/>
          <w:color w:val="auto"/>
          <w:sz w:val="22"/>
        </w:rPr>
        <w:tab/>
      </w:r>
      <w:r w:rsidRPr="004764AA">
        <w:rPr>
          <w:noProof/>
          <w:color w:val="auto"/>
        </w:rPr>
        <w:t>Intermediate tenures</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_Toc64026837 \h </w:instrText>
      </w:r>
      <w:r w:rsidRPr="004764AA">
        <w:rPr>
          <w:noProof/>
          <w:webHidden/>
          <w:color w:val="auto"/>
        </w:rPr>
      </w:r>
      <w:r w:rsidRPr="004764AA">
        <w:rPr>
          <w:noProof/>
          <w:webHidden/>
          <w:color w:val="auto"/>
        </w:rPr>
        <w:fldChar w:fldCharType="separate"/>
      </w:r>
      <w:r w:rsidRPr="004764AA">
        <w:rPr>
          <w:noProof/>
          <w:webHidden/>
          <w:color w:val="auto"/>
        </w:rPr>
        <w:t>67</w:t>
      </w:r>
      <w:r w:rsidRPr="004764AA">
        <w:rPr>
          <w:noProof/>
          <w:webHidden/>
          <w:color w:val="auto"/>
        </w:rPr>
        <w:fldChar w:fldCharType="end"/>
      </w:r>
    </w:p>
    <w:p w14:paraId="1231E390" w14:textId="52A085F2" w:rsidR="004764AA" w:rsidRPr="004764AA" w:rsidRDefault="004764AA">
      <w:pPr>
        <w:pStyle w:val="TOC1"/>
        <w:rPr>
          <w:rFonts w:asciiTheme="minorHAnsi" w:eastAsiaTheme="minorEastAsia" w:hAnsiTheme="minorHAnsi" w:cstheme="minorBidi"/>
          <w:noProof/>
          <w:color w:val="auto"/>
          <w:sz w:val="22"/>
        </w:rPr>
      </w:pPr>
      <w:r w:rsidRPr="004764AA">
        <w:rPr>
          <w:noProof/>
          <w:color w:val="auto"/>
        </w:rPr>
        <w:t>Appendix B : Housing Needs Assessment Glossary</w:t>
      </w:r>
      <w:r w:rsidRPr="004764AA">
        <w:rPr>
          <w:noProof/>
          <w:webHidden/>
          <w:color w:val="auto"/>
        </w:rPr>
        <w:tab/>
      </w:r>
      <w:r w:rsidRPr="004764AA">
        <w:rPr>
          <w:noProof/>
          <w:webHidden/>
          <w:color w:val="auto"/>
        </w:rPr>
        <w:fldChar w:fldCharType="begin"/>
      </w:r>
      <w:r w:rsidRPr="004764AA">
        <w:rPr>
          <w:noProof/>
          <w:webHidden/>
          <w:color w:val="auto"/>
        </w:rPr>
        <w:instrText xml:space="preserve"> PAGEREF _Toc64026838 \h </w:instrText>
      </w:r>
      <w:r w:rsidRPr="004764AA">
        <w:rPr>
          <w:noProof/>
          <w:webHidden/>
          <w:color w:val="auto"/>
        </w:rPr>
      </w:r>
      <w:r w:rsidRPr="004764AA">
        <w:rPr>
          <w:noProof/>
          <w:webHidden/>
          <w:color w:val="auto"/>
        </w:rPr>
        <w:fldChar w:fldCharType="separate"/>
      </w:r>
      <w:r w:rsidRPr="004764AA">
        <w:rPr>
          <w:noProof/>
          <w:webHidden/>
          <w:color w:val="auto"/>
        </w:rPr>
        <w:t>69</w:t>
      </w:r>
      <w:r w:rsidRPr="004764AA">
        <w:rPr>
          <w:noProof/>
          <w:webHidden/>
          <w:color w:val="auto"/>
        </w:rPr>
        <w:fldChar w:fldCharType="end"/>
      </w:r>
    </w:p>
    <w:p w14:paraId="05CBBB98" w14:textId="5B80FCA6" w:rsidR="002C2D5C" w:rsidRPr="00E70D6C" w:rsidRDefault="002C2D5C" w:rsidP="00EF383C">
      <w:pPr>
        <w:pStyle w:val="BodyText"/>
        <w:jc w:val="both"/>
        <w:rPr>
          <w:noProof/>
          <w:color w:val="auto"/>
        </w:rPr>
        <w:sectPr w:rsidR="002C2D5C" w:rsidRPr="00E70D6C" w:rsidSect="004E43B0">
          <w:headerReference w:type="default" r:id="rId10"/>
          <w:footerReference w:type="default" r:id="rId11"/>
          <w:pgSz w:w="11906" w:h="16838" w:code="9"/>
          <w:pgMar w:top="1134" w:right="1440" w:bottom="851" w:left="1440" w:header="709" w:footer="284" w:gutter="0"/>
          <w:cols w:space="708"/>
          <w:docGrid w:linePitch="360"/>
        </w:sectPr>
      </w:pPr>
      <w:r w:rsidRPr="004764AA">
        <w:rPr>
          <w:noProof/>
          <w:color w:val="auto"/>
        </w:rPr>
        <w:fldChar w:fldCharType="end"/>
      </w:r>
      <w:bookmarkEnd w:id="31"/>
    </w:p>
    <w:p w14:paraId="73E86C50" w14:textId="77777777" w:rsidR="002C2D5C" w:rsidRPr="00BC20E6" w:rsidRDefault="002C2D5C" w:rsidP="002C2D5C">
      <w:pPr>
        <w:pStyle w:val="BodyText"/>
        <w:jc w:val="both"/>
        <w:rPr>
          <w:b/>
          <w:sz w:val="18"/>
          <w:lang w:val="en-US"/>
        </w:rPr>
      </w:pPr>
      <w:r w:rsidRPr="00BC20E6">
        <w:rPr>
          <w:b/>
          <w:sz w:val="18"/>
          <w:lang w:val="en-US"/>
        </w:rPr>
        <w:t>List of acronyms used in the text:</w:t>
      </w:r>
    </w:p>
    <w:p w14:paraId="36903ECF" w14:textId="77777777" w:rsidR="002C2D5C" w:rsidRDefault="002C2D5C" w:rsidP="002C2D5C">
      <w:pPr>
        <w:pStyle w:val="BodyText"/>
        <w:jc w:val="both"/>
        <w:rPr>
          <w:sz w:val="18"/>
          <w:lang w:val="en-US"/>
        </w:rPr>
      </w:pPr>
    </w:p>
    <w:p w14:paraId="56C66DE1" w14:textId="77777777" w:rsidR="002C2D5C" w:rsidRPr="00A72738" w:rsidRDefault="002C2D5C" w:rsidP="008B066F">
      <w:pPr>
        <w:pStyle w:val="BodyText"/>
        <w:tabs>
          <w:tab w:val="left" w:pos="1418"/>
        </w:tabs>
        <w:jc w:val="both"/>
        <w:rPr>
          <w:sz w:val="18"/>
          <w:lang w:val="en-US"/>
        </w:rPr>
      </w:pPr>
      <w:r w:rsidRPr="00A72738">
        <w:rPr>
          <w:sz w:val="18"/>
          <w:lang w:val="en-US"/>
        </w:rPr>
        <w:t xml:space="preserve">AH </w:t>
      </w:r>
      <w:r w:rsidRPr="00A72738">
        <w:rPr>
          <w:sz w:val="18"/>
          <w:lang w:val="en-US"/>
        </w:rPr>
        <w:tab/>
        <w:t>Affordable Housing (NPPF definition)</w:t>
      </w:r>
    </w:p>
    <w:p w14:paraId="1572330C" w14:textId="54AF6CAC" w:rsidR="002C2D5C" w:rsidRDefault="002C2D5C" w:rsidP="008B066F">
      <w:pPr>
        <w:pStyle w:val="BodyText"/>
        <w:tabs>
          <w:tab w:val="left" w:pos="1418"/>
        </w:tabs>
        <w:jc w:val="both"/>
        <w:rPr>
          <w:sz w:val="18"/>
          <w:lang w:val="en-US"/>
        </w:rPr>
      </w:pPr>
      <w:r w:rsidRPr="005750AB">
        <w:rPr>
          <w:sz w:val="18"/>
          <w:lang w:val="en-US"/>
        </w:rPr>
        <w:t xml:space="preserve">AMH </w:t>
      </w:r>
      <w:r w:rsidRPr="005750AB">
        <w:rPr>
          <w:sz w:val="18"/>
          <w:lang w:val="en-US"/>
        </w:rPr>
        <w:tab/>
        <w:t>Affordable Market Housing</w:t>
      </w:r>
    </w:p>
    <w:p w14:paraId="471FDA64" w14:textId="77777777" w:rsidR="0015105E" w:rsidRPr="00B374E0" w:rsidRDefault="0015105E" w:rsidP="008B066F">
      <w:pPr>
        <w:pStyle w:val="BodyText"/>
        <w:tabs>
          <w:tab w:val="left" w:pos="1418"/>
        </w:tabs>
        <w:jc w:val="both"/>
        <w:rPr>
          <w:sz w:val="18"/>
          <w:lang w:val="en-US"/>
        </w:rPr>
      </w:pPr>
      <w:r>
        <w:rPr>
          <w:sz w:val="18"/>
          <w:lang w:val="en-US"/>
        </w:rPr>
        <w:t>DC</w:t>
      </w:r>
      <w:r w:rsidRPr="00B374E0">
        <w:rPr>
          <w:sz w:val="18"/>
          <w:lang w:val="en-US"/>
        </w:rPr>
        <w:tab/>
      </w:r>
      <w:r>
        <w:rPr>
          <w:sz w:val="18"/>
          <w:lang w:val="en-US"/>
        </w:rPr>
        <w:t>Dorset Council</w:t>
      </w:r>
    </w:p>
    <w:p w14:paraId="6F571767" w14:textId="77777777" w:rsidR="002C2D5C" w:rsidRPr="00A72738" w:rsidRDefault="002C2D5C" w:rsidP="008B066F">
      <w:pPr>
        <w:pStyle w:val="BodyText"/>
        <w:tabs>
          <w:tab w:val="left" w:pos="1418"/>
        </w:tabs>
        <w:jc w:val="both"/>
        <w:rPr>
          <w:sz w:val="18"/>
          <w:lang w:val="en-US"/>
        </w:rPr>
      </w:pPr>
      <w:r w:rsidRPr="00A72738">
        <w:rPr>
          <w:sz w:val="18"/>
          <w:lang w:val="en-US"/>
        </w:rPr>
        <w:t xml:space="preserve">HNA </w:t>
      </w:r>
      <w:r w:rsidRPr="00A72738">
        <w:rPr>
          <w:sz w:val="18"/>
          <w:lang w:val="en-US"/>
        </w:rPr>
        <w:tab/>
        <w:t>Housing Needs Assessment</w:t>
      </w:r>
    </w:p>
    <w:p w14:paraId="7B29AE38" w14:textId="77777777" w:rsidR="002C2D5C" w:rsidRDefault="002C2D5C" w:rsidP="008B066F">
      <w:pPr>
        <w:pStyle w:val="BodyText"/>
        <w:tabs>
          <w:tab w:val="left" w:pos="1418"/>
        </w:tabs>
        <w:jc w:val="both"/>
        <w:rPr>
          <w:sz w:val="18"/>
          <w:lang w:val="en-US"/>
        </w:rPr>
      </w:pPr>
      <w:r>
        <w:rPr>
          <w:sz w:val="18"/>
          <w:lang w:val="en-US"/>
        </w:rPr>
        <w:t>HNF</w:t>
      </w:r>
      <w:r w:rsidRPr="00AF53FD">
        <w:rPr>
          <w:sz w:val="18"/>
          <w:lang w:val="en-US"/>
        </w:rPr>
        <w:tab/>
        <w:t xml:space="preserve">Housing </w:t>
      </w:r>
      <w:r>
        <w:rPr>
          <w:sz w:val="18"/>
          <w:lang w:val="en-US"/>
        </w:rPr>
        <w:t>Need</w:t>
      </w:r>
      <w:r w:rsidRPr="00AF53FD">
        <w:rPr>
          <w:sz w:val="18"/>
          <w:lang w:val="en-US"/>
        </w:rPr>
        <w:t xml:space="preserve"> Figure</w:t>
      </w:r>
    </w:p>
    <w:p w14:paraId="090D9874" w14:textId="77777777" w:rsidR="002C2D5C" w:rsidRDefault="002C2D5C" w:rsidP="008B066F">
      <w:pPr>
        <w:pStyle w:val="BodyText"/>
        <w:tabs>
          <w:tab w:val="left" w:pos="1418"/>
        </w:tabs>
        <w:jc w:val="both"/>
        <w:rPr>
          <w:sz w:val="18"/>
          <w:lang w:val="en-US"/>
        </w:rPr>
      </w:pPr>
      <w:r>
        <w:rPr>
          <w:sz w:val="18"/>
          <w:lang w:val="en-US"/>
        </w:rPr>
        <w:t>Housing LIN</w:t>
      </w:r>
      <w:r>
        <w:rPr>
          <w:sz w:val="18"/>
          <w:lang w:val="en-US"/>
        </w:rPr>
        <w:tab/>
        <w:t>Housing Learning and Improvement Network</w:t>
      </w:r>
    </w:p>
    <w:p w14:paraId="699E423A" w14:textId="77777777" w:rsidR="002C2D5C" w:rsidRDefault="002C2D5C" w:rsidP="008B066F">
      <w:pPr>
        <w:pStyle w:val="BodyText"/>
        <w:tabs>
          <w:tab w:val="left" w:pos="1418"/>
        </w:tabs>
        <w:jc w:val="both"/>
        <w:rPr>
          <w:sz w:val="18"/>
          <w:lang w:val="en-US"/>
        </w:rPr>
      </w:pPr>
      <w:r>
        <w:rPr>
          <w:sz w:val="18"/>
          <w:lang w:val="en-US"/>
        </w:rPr>
        <w:t>HRP</w:t>
      </w:r>
      <w:r>
        <w:rPr>
          <w:sz w:val="18"/>
          <w:lang w:val="en-US"/>
        </w:rPr>
        <w:tab/>
        <w:t>Household Reference Person</w:t>
      </w:r>
    </w:p>
    <w:p w14:paraId="775F8BBA" w14:textId="77777777" w:rsidR="002C2D5C" w:rsidRPr="00AF53FD" w:rsidRDefault="002C2D5C" w:rsidP="008B066F">
      <w:pPr>
        <w:pStyle w:val="BodyText"/>
        <w:tabs>
          <w:tab w:val="left" w:pos="1418"/>
        </w:tabs>
        <w:jc w:val="both"/>
        <w:rPr>
          <w:sz w:val="18"/>
          <w:lang w:val="en-US"/>
        </w:rPr>
      </w:pPr>
      <w:r>
        <w:rPr>
          <w:sz w:val="18"/>
          <w:lang w:val="en-US"/>
        </w:rPr>
        <w:t>LHN</w:t>
      </w:r>
      <w:r>
        <w:rPr>
          <w:sz w:val="18"/>
          <w:lang w:val="en-US"/>
        </w:rPr>
        <w:tab/>
        <w:t>Local Housing Need</w:t>
      </w:r>
    </w:p>
    <w:p w14:paraId="2780448D" w14:textId="77777777" w:rsidR="002C2D5C" w:rsidRDefault="002C2D5C" w:rsidP="008B066F">
      <w:pPr>
        <w:pStyle w:val="BodyText"/>
        <w:tabs>
          <w:tab w:val="left" w:pos="1418"/>
        </w:tabs>
        <w:jc w:val="both"/>
        <w:rPr>
          <w:sz w:val="18"/>
          <w:lang w:val="en-US"/>
        </w:rPr>
      </w:pPr>
      <w:r w:rsidRPr="00A72738">
        <w:rPr>
          <w:sz w:val="18"/>
          <w:lang w:val="en-US"/>
        </w:rPr>
        <w:t xml:space="preserve">LPA </w:t>
      </w:r>
      <w:r w:rsidRPr="00A72738">
        <w:rPr>
          <w:sz w:val="18"/>
          <w:lang w:val="en-US"/>
        </w:rPr>
        <w:tab/>
        <w:t>Local Planning Authority</w:t>
      </w:r>
    </w:p>
    <w:p w14:paraId="7ED290F0" w14:textId="77777777" w:rsidR="002C2D5C" w:rsidRDefault="002C2D5C" w:rsidP="008B066F">
      <w:pPr>
        <w:pStyle w:val="BodyText"/>
        <w:tabs>
          <w:tab w:val="left" w:pos="1418"/>
        </w:tabs>
        <w:jc w:val="both"/>
        <w:rPr>
          <w:sz w:val="18"/>
          <w:lang w:val="en-US"/>
        </w:rPr>
      </w:pPr>
      <w:r>
        <w:rPr>
          <w:sz w:val="18"/>
          <w:lang w:val="en-US"/>
        </w:rPr>
        <w:t>LQAR</w:t>
      </w:r>
      <w:r>
        <w:rPr>
          <w:sz w:val="18"/>
          <w:lang w:val="en-US"/>
        </w:rPr>
        <w:tab/>
      </w:r>
      <w:r w:rsidRPr="005750AB">
        <w:rPr>
          <w:sz w:val="18"/>
          <w:lang w:val="en-US"/>
        </w:rPr>
        <w:t>Lower Quartile Affordability Ratio</w:t>
      </w:r>
    </w:p>
    <w:p w14:paraId="1C63317B" w14:textId="2A45F3BD" w:rsidR="00B74AE8" w:rsidRDefault="00B74AE8" w:rsidP="008B066F">
      <w:pPr>
        <w:pStyle w:val="BodyText"/>
        <w:tabs>
          <w:tab w:val="left" w:pos="1418"/>
        </w:tabs>
        <w:jc w:val="both"/>
        <w:rPr>
          <w:sz w:val="18"/>
          <w:lang w:val="en-US"/>
        </w:rPr>
      </w:pPr>
      <w:r>
        <w:rPr>
          <w:sz w:val="18"/>
          <w:lang w:val="en-US"/>
        </w:rPr>
        <w:t>LTHPD</w:t>
      </w:r>
      <w:r>
        <w:rPr>
          <w:sz w:val="18"/>
          <w:lang w:val="en-US"/>
        </w:rPr>
        <w:tab/>
        <w:t>Long-Term Health Problem or Disability</w:t>
      </w:r>
    </w:p>
    <w:p w14:paraId="6F0F3E79" w14:textId="77777777" w:rsidR="002C2D5C" w:rsidRDefault="002C2D5C" w:rsidP="008B066F">
      <w:pPr>
        <w:pStyle w:val="BodyText"/>
        <w:tabs>
          <w:tab w:val="left" w:pos="1418"/>
        </w:tabs>
        <w:jc w:val="both"/>
        <w:rPr>
          <w:sz w:val="18"/>
          <w:lang w:val="en-US"/>
        </w:rPr>
      </w:pPr>
      <w:r>
        <w:rPr>
          <w:sz w:val="18"/>
          <w:lang w:val="en-US"/>
        </w:rPr>
        <w:t>MAR</w:t>
      </w:r>
      <w:r>
        <w:rPr>
          <w:sz w:val="18"/>
          <w:lang w:val="en-US"/>
        </w:rPr>
        <w:tab/>
        <w:t>Median Affordability Ratio</w:t>
      </w:r>
    </w:p>
    <w:p w14:paraId="36DC8864" w14:textId="77777777" w:rsidR="002C2D5C" w:rsidRPr="00A72738" w:rsidRDefault="002C2D5C" w:rsidP="008B066F">
      <w:pPr>
        <w:pStyle w:val="BodyText"/>
        <w:tabs>
          <w:tab w:val="left" w:pos="1418"/>
        </w:tabs>
        <w:jc w:val="both"/>
        <w:rPr>
          <w:sz w:val="18"/>
          <w:lang w:val="en-US"/>
        </w:rPr>
      </w:pPr>
      <w:r>
        <w:rPr>
          <w:sz w:val="18"/>
          <w:lang w:val="en-US"/>
        </w:rPr>
        <w:t>MH</w:t>
      </w:r>
      <w:r>
        <w:rPr>
          <w:sz w:val="18"/>
          <w:lang w:val="en-US"/>
        </w:rPr>
        <w:tab/>
        <w:t>Market Housing</w:t>
      </w:r>
    </w:p>
    <w:p w14:paraId="4569357A" w14:textId="77777777" w:rsidR="002C2D5C" w:rsidRPr="005750AB" w:rsidRDefault="002C2D5C" w:rsidP="008B066F">
      <w:pPr>
        <w:pStyle w:val="BodyText"/>
        <w:tabs>
          <w:tab w:val="left" w:pos="1418"/>
        </w:tabs>
        <w:jc w:val="both"/>
        <w:rPr>
          <w:sz w:val="18"/>
          <w:lang w:val="en-US"/>
        </w:rPr>
      </w:pPr>
      <w:r w:rsidRPr="005750AB">
        <w:rPr>
          <w:sz w:val="18"/>
          <w:lang w:val="en-US"/>
        </w:rPr>
        <w:t xml:space="preserve">MHCLG </w:t>
      </w:r>
      <w:r w:rsidRPr="005750AB">
        <w:rPr>
          <w:sz w:val="18"/>
          <w:lang w:val="en-US"/>
        </w:rPr>
        <w:tab/>
        <w:t>Ministry for Housing, Communities and Local Government (formerly DCLG)</w:t>
      </w:r>
    </w:p>
    <w:p w14:paraId="7035584B" w14:textId="3D072E4A" w:rsidR="002C2D5C" w:rsidRDefault="002C2D5C" w:rsidP="008B066F">
      <w:pPr>
        <w:pStyle w:val="BodyText"/>
        <w:tabs>
          <w:tab w:val="left" w:pos="1418"/>
        </w:tabs>
        <w:jc w:val="both"/>
        <w:rPr>
          <w:sz w:val="18"/>
          <w:lang w:val="en-US"/>
        </w:rPr>
      </w:pPr>
      <w:r w:rsidRPr="00B374E0">
        <w:rPr>
          <w:sz w:val="18"/>
          <w:lang w:val="en-US"/>
        </w:rPr>
        <w:t xml:space="preserve">NA     </w:t>
      </w:r>
      <w:r w:rsidRPr="00B374E0">
        <w:rPr>
          <w:sz w:val="18"/>
          <w:lang w:val="en-US"/>
        </w:rPr>
        <w:tab/>
        <w:t xml:space="preserve">Neighbourhood </w:t>
      </w:r>
      <w:r w:rsidR="00A50BD6">
        <w:rPr>
          <w:sz w:val="18"/>
          <w:lang w:val="en-US"/>
        </w:rPr>
        <w:t>(</w:t>
      </w:r>
      <w:r w:rsidRPr="00B374E0">
        <w:rPr>
          <w:sz w:val="18"/>
          <w:lang w:val="en-US"/>
        </w:rPr>
        <w:t>Plan</w:t>
      </w:r>
      <w:r w:rsidR="00A50BD6">
        <w:rPr>
          <w:sz w:val="18"/>
          <w:lang w:val="en-US"/>
        </w:rPr>
        <w:t>)</w:t>
      </w:r>
      <w:r w:rsidRPr="00B374E0">
        <w:rPr>
          <w:sz w:val="18"/>
          <w:lang w:val="en-US"/>
        </w:rPr>
        <w:t xml:space="preserve"> Area</w:t>
      </w:r>
    </w:p>
    <w:p w14:paraId="40D75772" w14:textId="2042963E" w:rsidR="008D49A0" w:rsidRPr="00B374E0" w:rsidRDefault="008D49A0" w:rsidP="008B066F">
      <w:pPr>
        <w:pStyle w:val="BodyText"/>
        <w:tabs>
          <w:tab w:val="left" w:pos="1418"/>
        </w:tabs>
        <w:jc w:val="both"/>
        <w:rPr>
          <w:sz w:val="18"/>
          <w:lang w:val="en-US"/>
        </w:rPr>
      </w:pPr>
      <w:r>
        <w:rPr>
          <w:sz w:val="18"/>
          <w:lang w:val="en-US"/>
        </w:rPr>
        <w:t>NDO</w:t>
      </w:r>
      <w:r>
        <w:rPr>
          <w:sz w:val="18"/>
          <w:lang w:val="en-US"/>
        </w:rPr>
        <w:tab/>
        <w:t>Neighbourhood Development Order</w:t>
      </w:r>
    </w:p>
    <w:p w14:paraId="49892052" w14:textId="77777777" w:rsidR="002C2D5C" w:rsidRPr="00A72738" w:rsidRDefault="002C2D5C" w:rsidP="008B066F">
      <w:pPr>
        <w:pStyle w:val="BodyText"/>
        <w:tabs>
          <w:tab w:val="left" w:pos="1418"/>
        </w:tabs>
        <w:jc w:val="both"/>
        <w:rPr>
          <w:sz w:val="18"/>
          <w:lang w:val="en-US"/>
        </w:rPr>
      </w:pPr>
      <w:r w:rsidRPr="00A72738">
        <w:rPr>
          <w:sz w:val="18"/>
          <w:lang w:val="en-US"/>
        </w:rPr>
        <w:t xml:space="preserve">NDP </w:t>
      </w:r>
      <w:r w:rsidRPr="00A72738">
        <w:rPr>
          <w:sz w:val="18"/>
          <w:lang w:val="en-US"/>
        </w:rPr>
        <w:tab/>
        <w:t>Neighbourhood Development Plan</w:t>
      </w:r>
    </w:p>
    <w:p w14:paraId="2CA9B2FF" w14:textId="77777777" w:rsidR="002C2D5C" w:rsidRPr="00A72738" w:rsidRDefault="002C2D5C" w:rsidP="008B066F">
      <w:pPr>
        <w:pStyle w:val="BodyText"/>
        <w:tabs>
          <w:tab w:val="left" w:pos="1418"/>
        </w:tabs>
        <w:jc w:val="both"/>
        <w:rPr>
          <w:sz w:val="18"/>
          <w:lang w:val="en-US"/>
        </w:rPr>
      </w:pPr>
      <w:r w:rsidRPr="00A72738">
        <w:rPr>
          <w:sz w:val="18"/>
          <w:lang w:val="en-US"/>
        </w:rPr>
        <w:t xml:space="preserve">NP </w:t>
      </w:r>
      <w:r w:rsidRPr="00A72738">
        <w:rPr>
          <w:sz w:val="18"/>
          <w:lang w:val="en-US"/>
        </w:rPr>
        <w:tab/>
        <w:t>Neighbourhood Plan</w:t>
      </w:r>
    </w:p>
    <w:p w14:paraId="0544A5E0" w14:textId="77777777" w:rsidR="002C2D5C" w:rsidRPr="00AF53FD" w:rsidRDefault="002C2D5C" w:rsidP="008B066F">
      <w:pPr>
        <w:pStyle w:val="BodyText"/>
        <w:tabs>
          <w:tab w:val="left" w:pos="1418"/>
        </w:tabs>
        <w:jc w:val="both"/>
        <w:rPr>
          <w:sz w:val="18"/>
          <w:lang w:val="en-US"/>
        </w:rPr>
      </w:pPr>
      <w:r w:rsidRPr="00AF53FD">
        <w:rPr>
          <w:sz w:val="18"/>
          <w:lang w:val="en-US"/>
        </w:rPr>
        <w:t xml:space="preserve">NPPF </w:t>
      </w:r>
      <w:r w:rsidRPr="00AF53FD">
        <w:rPr>
          <w:sz w:val="18"/>
          <w:lang w:val="en-US"/>
        </w:rPr>
        <w:tab/>
        <w:t>National Planning Policy Framework</w:t>
      </w:r>
    </w:p>
    <w:p w14:paraId="359C2F8F" w14:textId="77777777" w:rsidR="002C2D5C" w:rsidRPr="00AF53FD" w:rsidRDefault="002C2D5C" w:rsidP="008B066F">
      <w:pPr>
        <w:pStyle w:val="BodyText"/>
        <w:tabs>
          <w:tab w:val="left" w:pos="1418"/>
        </w:tabs>
        <w:jc w:val="both"/>
        <w:rPr>
          <w:sz w:val="18"/>
          <w:lang w:val="en-US"/>
        </w:rPr>
      </w:pPr>
      <w:r w:rsidRPr="00AF53FD">
        <w:rPr>
          <w:sz w:val="18"/>
          <w:lang w:val="en-US"/>
        </w:rPr>
        <w:t xml:space="preserve">ONS </w:t>
      </w:r>
      <w:r w:rsidRPr="00AF53FD">
        <w:rPr>
          <w:sz w:val="18"/>
          <w:lang w:val="en-US"/>
        </w:rPr>
        <w:tab/>
        <w:t>Office for National Statistics</w:t>
      </w:r>
    </w:p>
    <w:p w14:paraId="43D948BB" w14:textId="77777777" w:rsidR="002C2D5C" w:rsidRPr="00A72738" w:rsidRDefault="002C2D5C" w:rsidP="008B066F">
      <w:pPr>
        <w:pStyle w:val="BodyText"/>
        <w:tabs>
          <w:tab w:val="left" w:pos="1418"/>
        </w:tabs>
        <w:jc w:val="both"/>
        <w:rPr>
          <w:sz w:val="18"/>
          <w:lang w:val="en-US"/>
        </w:rPr>
      </w:pPr>
      <w:r w:rsidRPr="00A72738">
        <w:rPr>
          <w:sz w:val="18"/>
          <w:lang w:val="en-US"/>
        </w:rPr>
        <w:t xml:space="preserve">PPG </w:t>
      </w:r>
      <w:r w:rsidRPr="00A72738">
        <w:rPr>
          <w:sz w:val="18"/>
          <w:lang w:val="en-US"/>
        </w:rPr>
        <w:tab/>
        <w:t>Planning Practice Guidance</w:t>
      </w:r>
    </w:p>
    <w:p w14:paraId="01C8083A" w14:textId="77777777" w:rsidR="002C2D5C" w:rsidRPr="005750AB" w:rsidRDefault="002C2D5C" w:rsidP="008B066F">
      <w:pPr>
        <w:pStyle w:val="BodyText"/>
        <w:tabs>
          <w:tab w:val="left" w:pos="1418"/>
        </w:tabs>
        <w:jc w:val="both"/>
        <w:rPr>
          <w:sz w:val="18"/>
          <w:lang w:val="en-US"/>
        </w:rPr>
      </w:pPr>
      <w:r w:rsidRPr="005750AB">
        <w:rPr>
          <w:sz w:val="18"/>
          <w:lang w:val="en-US"/>
        </w:rPr>
        <w:t xml:space="preserve">PRS </w:t>
      </w:r>
      <w:r w:rsidRPr="005750AB">
        <w:rPr>
          <w:sz w:val="18"/>
          <w:lang w:val="en-US"/>
        </w:rPr>
        <w:tab/>
        <w:t>Private Rented Sector</w:t>
      </w:r>
    </w:p>
    <w:p w14:paraId="71F047D3" w14:textId="77777777" w:rsidR="002C2D5C" w:rsidRDefault="002C2D5C" w:rsidP="008B066F">
      <w:pPr>
        <w:pStyle w:val="BodyText"/>
        <w:tabs>
          <w:tab w:val="left" w:pos="1418"/>
        </w:tabs>
        <w:jc w:val="both"/>
        <w:rPr>
          <w:sz w:val="18"/>
          <w:lang w:val="en-US"/>
        </w:rPr>
      </w:pPr>
      <w:r w:rsidRPr="00A72738">
        <w:rPr>
          <w:sz w:val="18"/>
          <w:lang w:val="en-US"/>
        </w:rPr>
        <w:t>RQ</w:t>
      </w:r>
      <w:r w:rsidRPr="00A72738">
        <w:rPr>
          <w:sz w:val="18"/>
          <w:lang w:val="en-US"/>
        </w:rPr>
        <w:tab/>
        <w:t>Research Question</w:t>
      </w:r>
    </w:p>
    <w:p w14:paraId="058C3ED0" w14:textId="7052754C" w:rsidR="00B909CB" w:rsidRPr="00A72738" w:rsidRDefault="00B909CB" w:rsidP="008B066F">
      <w:pPr>
        <w:pStyle w:val="BodyText"/>
        <w:tabs>
          <w:tab w:val="left" w:pos="1418"/>
        </w:tabs>
        <w:jc w:val="both"/>
        <w:rPr>
          <w:sz w:val="18"/>
          <w:lang w:val="en-US"/>
        </w:rPr>
      </w:pPr>
      <w:r>
        <w:rPr>
          <w:sz w:val="18"/>
          <w:lang w:val="en-US"/>
        </w:rPr>
        <w:t>SHLAA</w:t>
      </w:r>
      <w:r>
        <w:rPr>
          <w:sz w:val="18"/>
          <w:lang w:val="en-US"/>
        </w:rPr>
        <w:tab/>
        <w:t>Strategic Housing Land Availability Assessment</w:t>
      </w:r>
    </w:p>
    <w:p w14:paraId="2A0050AF" w14:textId="77777777" w:rsidR="002C2D5C" w:rsidRDefault="002C2D5C" w:rsidP="008B066F">
      <w:pPr>
        <w:pStyle w:val="BodyText"/>
        <w:tabs>
          <w:tab w:val="left" w:pos="1418"/>
        </w:tabs>
        <w:jc w:val="both"/>
        <w:rPr>
          <w:sz w:val="18"/>
          <w:lang w:val="en-US"/>
        </w:rPr>
      </w:pPr>
      <w:r w:rsidRPr="00A72738">
        <w:rPr>
          <w:sz w:val="18"/>
          <w:lang w:val="en-US"/>
        </w:rPr>
        <w:t xml:space="preserve">SHMA </w:t>
      </w:r>
      <w:r w:rsidRPr="00A72738">
        <w:rPr>
          <w:sz w:val="18"/>
          <w:lang w:val="en-US"/>
        </w:rPr>
        <w:tab/>
        <w:t>Strategic Housing Market Assessment</w:t>
      </w:r>
    </w:p>
    <w:p w14:paraId="69240AAF" w14:textId="2F0B63C3" w:rsidR="002C2D5C" w:rsidRDefault="002C2D5C" w:rsidP="008B066F">
      <w:pPr>
        <w:pStyle w:val="BodyText"/>
        <w:tabs>
          <w:tab w:val="left" w:pos="1418"/>
        </w:tabs>
        <w:jc w:val="both"/>
        <w:rPr>
          <w:sz w:val="18"/>
          <w:lang w:val="en-US"/>
        </w:rPr>
      </w:pPr>
      <w:r>
        <w:rPr>
          <w:sz w:val="18"/>
          <w:lang w:val="en-US"/>
        </w:rPr>
        <w:t>VOA</w:t>
      </w:r>
      <w:r>
        <w:rPr>
          <w:sz w:val="18"/>
          <w:lang w:val="en-US"/>
        </w:rPr>
        <w:tab/>
        <w:t>Valuation Office Agency</w:t>
      </w:r>
    </w:p>
    <w:p w14:paraId="7487F21F" w14:textId="77777777" w:rsidR="0015105E" w:rsidRPr="00A72738" w:rsidRDefault="0015105E" w:rsidP="008B066F">
      <w:pPr>
        <w:pStyle w:val="BodyText"/>
        <w:tabs>
          <w:tab w:val="left" w:pos="1418"/>
        </w:tabs>
        <w:jc w:val="both"/>
        <w:rPr>
          <w:sz w:val="18"/>
          <w:lang w:val="en-US"/>
        </w:rPr>
      </w:pPr>
      <w:r>
        <w:rPr>
          <w:sz w:val="18"/>
          <w:lang w:val="en-US"/>
        </w:rPr>
        <w:t>WTC</w:t>
      </w:r>
      <w:r w:rsidRPr="00A72738">
        <w:rPr>
          <w:sz w:val="18"/>
          <w:lang w:val="en-US"/>
        </w:rPr>
        <w:tab/>
      </w:r>
      <w:r>
        <w:rPr>
          <w:sz w:val="18"/>
          <w:lang w:val="en-US"/>
        </w:rPr>
        <w:t>Weymouth Town Council</w:t>
      </w:r>
    </w:p>
    <w:p w14:paraId="62FF0DF3" w14:textId="77777777" w:rsidR="0015105E" w:rsidRPr="00D44197" w:rsidRDefault="0015105E" w:rsidP="002C2D5C">
      <w:pPr>
        <w:pStyle w:val="BodyText"/>
        <w:jc w:val="both"/>
        <w:rPr>
          <w:sz w:val="18"/>
          <w:lang w:val="en-US"/>
        </w:rPr>
      </w:pPr>
    </w:p>
    <w:p w14:paraId="26BAD5DC" w14:textId="77777777" w:rsidR="002C2D5C" w:rsidRDefault="002C2D5C" w:rsidP="002C2D5C">
      <w:pPr>
        <w:pStyle w:val="Heading1"/>
        <w:jc w:val="both"/>
        <w:rPr>
          <w:lang w:val="en-US"/>
        </w:rPr>
      </w:pPr>
      <w:r w:rsidRPr="00E80CC8">
        <w:rPr>
          <w:lang w:val="en-US"/>
        </w:rPr>
        <w:br w:type="page"/>
      </w:r>
      <w:bookmarkStart w:id="32" w:name="_Toc327441327"/>
      <w:bookmarkStart w:id="33" w:name="_Toc461696201"/>
      <w:bookmarkStart w:id="34" w:name="_Toc64026766"/>
      <w:r w:rsidRPr="00E80CC8">
        <w:rPr>
          <w:lang w:val="en-US"/>
        </w:rPr>
        <w:t>Executive Summary</w:t>
      </w:r>
      <w:bookmarkEnd w:id="32"/>
      <w:bookmarkEnd w:id="33"/>
      <w:bookmarkEnd w:id="34"/>
    </w:p>
    <w:p w14:paraId="0B36C0DD" w14:textId="7C41335B" w:rsidR="008A604F" w:rsidRDefault="008A604F" w:rsidP="008A604F">
      <w:pPr>
        <w:pStyle w:val="ListNumber"/>
      </w:pPr>
      <w:r w:rsidRPr="00AD3891">
        <w:t>Weymouth is a Neighbourhood Plan area located</w:t>
      </w:r>
      <w:r>
        <w:t xml:space="preserve"> on the</w:t>
      </w:r>
      <w:r w:rsidRPr="00AD3891">
        <w:t xml:space="preserve"> Dorset</w:t>
      </w:r>
      <w:r>
        <w:t xml:space="preserve"> coast</w:t>
      </w:r>
      <w:r w:rsidRPr="00AD3891">
        <w:t xml:space="preserve">. </w:t>
      </w:r>
      <w:r w:rsidRPr="00747D45">
        <w:t xml:space="preserve">The Neighbourhood Area comprises </w:t>
      </w:r>
      <w:r>
        <w:t>Weymouth administrative boundary and the proposed Neighbourhood Plan period starts in 2021 and extends to 2038.</w:t>
      </w:r>
    </w:p>
    <w:p w14:paraId="17812115" w14:textId="77777777" w:rsidR="00CD491C" w:rsidRDefault="00CD491C" w:rsidP="00CD491C">
      <w:pPr>
        <w:pStyle w:val="Heading2"/>
        <w:numPr>
          <w:ilvl w:val="1"/>
          <w:numId w:val="31"/>
        </w:numPr>
        <w:jc w:val="both"/>
      </w:pPr>
      <w:bookmarkStart w:id="35" w:name="_Toc64026767"/>
      <w:r>
        <w:t>Tenure and Affordability</w:t>
      </w:r>
      <w:bookmarkEnd w:id="35"/>
    </w:p>
    <w:p w14:paraId="62C228FC" w14:textId="52289CE5" w:rsidR="002828B5" w:rsidRDefault="002828B5" w:rsidP="00947A30">
      <w:pPr>
        <w:pStyle w:val="Heading3"/>
      </w:pPr>
      <w:bookmarkStart w:id="36" w:name="_Toc64026768"/>
      <w:r>
        <w:t>Affordability Issues</w:t>
      </w:r>
      <w:bookmarkEnd w:id="36"/>
    </w:p>
    <w:p w14:paraId="2401AD8B" w14:textId="51601414" w:rsidR="008A604F" w:rsidRDefault="008A604F" w:rsidP="008A604F">
      <w:pPr>
        <w:pStyle w:val="ListNumber"/>
      </w:pPr>
      <w:r>
        <w:t>The current profile of Weymouth in terms of affordability is not too dissimilar from that of the Dorset area overall. The NA is characterized by:</w:t>
      </w:r>
    </w:p>
    <w:p w14:paraId="6F6B6E75" w14:textId="6DEF1623" w:rsidR="008A604F" w:rsidRPr="007D3A35" w:rsidRDefault="008A604F" w:rsidP="008A604F">
      <w:pPr>
        <w:pStyle w:val="ListBullet"/>
      </w:pPr>
      <w:r w:rsidRPr="007D3A35">
        <w:t>average incomes of £39</w:t>
      </w:r>
      <w:r w:rsidR="002828B5">
        <w:t>,</w:t>
      </w:r>
      <w:r w:rsidRPr="007D3A35">
        <w:t>929, which is above the national average, and average lower quartile incomes of £14,745 in households with one LQ income and £29,490 in households with two LQ incomes); and</w:t>
      </w:r>
    </w:p>
    <w:p w14:paraId="07796ADB" w14:textId="083120E6" w:rsidR="008A604F" w:rsidRPr="007D3A35" w:rsidRDefault="008A604F" w:rsidP="008A604F">
      <w:pPr>
        <w:pStyle w:val="ListBullet"/>
      </w:pPr>
      <w:r w:rsidRPr="007D3A35">
        <w:t xml:space="preserve">average house sale prices unaffordable on average incomes (with an average resale home requiring </w:t>
      </w:r>
      <w:r w:rsidR="00C751C4">
        <w:t>a</w:t>
      </w:r>
      <w:r w:rsidRPr="007D3A35">
        <w:t>n income of over £60,000 and a new build requiring on average an income of over £100,000).</w:t>
      </w:r>
    </w:p>
    <w:p w14:paraId="5804F9D9" w14:textId="77777777" w:rsidR="008A604F" w:rsidRDefault="008A604F" w:rsidP="008A604F">
      <w:pPr>
        <w:pStyle w:val="ListNumber"/>
      </w:pPr>
      <w:r>
        <w:t>Those households on two lower quartile incomes (as measured at overall local authority level) cannot afford any of the available tenures in Weymouth without recourse to benefits to top up their incomes, except social and affordable rent. Those households on a single lower quartile income would on average not even be able to afford a social rented property without recourse to benefits.</w:t>
      </w:r>
    </w:p>
    <w:p w14:paraId="56B55149" w14:textId="77777777" w:rsidR="002828B5" w:rsidRDefault="002828B5" w:rsidP="002828B5">
      <w:pPr>
        <w:pStyle w:val="ListNumber"/>
      </w:pPr>
      <w:r>
        <w:t>Those on average incomes who do not already own their own home in Weymouth will not be able to afford to buy their own home, but they will be able to rent in the market. The only affordable ways to home ownership on an average income in Weymouth are either through shared ownership at 25% or through a discount market sale scheme, which would have to offer a minimum discount of at least 34%. 20 or 30% discount market sale schemes or 50% shared ownership would still be unaffordable on average incomes in Weymouth (although shared ownership at 50% is only very marginally unaffordable). First Homes will be unaffordable on average incomes at the government proposed 30% discount but may be an appropriate option if higher discounts of over 34% can be negotiated (with the consultation suggesting 40% or 50% could be secured where justified and viable).</w:t>
      </w:r>
    </w:p>
    <w:p w14:paraId="1F0D4E88" w14:textId="68D82A77" w:rsidR="002828B5" w:rsidRDefault="002828B5" w:rsidP="00947A30">
      <w:pPr>
        <w:pStyle w:val="Heading3"/>
      </w:pPr>
      <w:bookmarkStart w:id="37" w:name="_Toc64026769"/>
      <w:r>
        <w:t xml:space="preserve">Tenure </w:t>
      </w:r>
      <w:r w:rsidR="004764AA">
        <w:t>Profile</w:t>
      </w:r>
      <w:bookmarkEnd w:id="37"/>
    </w:p>
    <w:p w14:paraId="51F1CCB4" w14:textId="15815E5A" w:rsidR="008A604F" w:rsidRPr="00C378B2" w:rsidRDefault="008A604F" w:rsidP="008A604F">
      <w:pPr>
        <w:pStyle w:val="ListNumber"/>
      </w:pPr>
      <w:r>
        <w:t>Weymouth has slightly higher than national average levels of owner occupation (67%), similar percentages of private renting (18%) and slightly lower levels of social renting at 14%. Shared ownership makes up the smallest percentage of households, at 0.6%, which is a similar situation as across Dorset and England as a whole. Private renting is the second most popular tenure, after home ownership. In</w:t>
      </w:r>
      <w:r w:rsidRPr="00C378B2">
        <w:t xml:space="preserve"> the intercensal period</w:t>
      </w:r>
      <w:r>
        <w:t>, the largest proportional increase was a 75% rise in private renting in Weymouth. Shared ownership as a tenure also increase by a large percentage of 59%, but in total still only makes up a very small share of households both before and after 2011. Home ownership fell by 4% and social renting increased by just under 10%.</w:t>
      </w:r>
    </w:p>
    <w:p w14:paraId="6AD05628" w14:textId="1D823B07" w:rsidR="002828B5" w:rsidRDefault="002828B5" w:rsidP="00947A30">
      <w:pPr>
        <w:pStyle w:val="Heading3"/>
      </w:pPr>
      <w:bookmarkStart w:id="38" w:name="_Toc64026770"/>
      <w:bookmarkStart w:id="39" w:name="_Toc64026771"/>
      <w:bookmarkEnd w:id="38"/>
      <w:r>
        <w:t>Affordable Housing Need</w:t>
      </w:r>
      <w:bookmarkEnd w:id="39"/>
    </w:p>
    <w:p w14:paraId="6FB94316" w14:textId="7530C3B1" w:rsidR="008A604F" w:rsidRDefault="008A604F" w:rsidP="008A604F">
      <w:pPr>
        <w:pStyle w:val="ListNumber"/>
      </w:pPr>
      <w:r w:rsidRPr="003A717B">
        <w:t xml:space="preserve">The overall </w:t>
      </w:r>
      <w:r>
        <w:t xml:space="preserve">minimum </w:t>
      </w:r>
      <w:r w:rsidRPr="003A717B">
        <w:t xml:space="preserve">affordable housing need likely to arise over the plan period in line with </w:t>
      </w:r>
      <w:r>
        <w:t>the most recent SHMA</w:t>
      </w:r>
      <w:r w:rsidRPr="003A717B">
        <w:t xml:space="preserve"> is </w:t>
      </w:r>
      <w:r>
        <w:t>1,775 units</w:t>
      </w:r>
      <w:r w:rsidRPr="003A717B">
        <w:t xml:space="preserve"> (</w:t>
      </w:r>
      <w:r>
        <w:t>1,260</w:t>
      </w:r>
      <w:r w:rsidRPr="003A717B">
        <w:t xml:space="preserve"> affordable homes needed for rent + </w:t>
      </w:r>
      <w:r>
        <w:t>515</w:t>
      </w:r>
      <w:r w:rsidRPr="003A717B">
        <w:t xml:space="preserve"> affordable homes needed for sale). </w:t>
      </w:r>
      <w:r>
        <w:t xml:space="preserve">Supplementary AECOM calculations show that the potential demand for affordable housing for sale could in reality be much higher, up to 2,649 units over the Neighbourhood Plan period. Weymouth’s overall housing requirement (and therefore likely delivery) is unlikely to </w:t>
      </w:r>
      <w:r w:rsidRPr="003A717B">
        <w:t>allow affordable housing needs to be met in full over the plan period</w:t>
      </w:r>
      <w:r>
        <w:t xml:space="preserve"> </w:t>
      </w:r>
      <w:r w:rsidRPr="003A717B">
        <w:t>through planning obligations. To meet identified affordable housing needs, all housing need would need to be met</w:t>
      </w:r>
      <w:r>
        <w:t xml:space="preserve"> (the HRF assigned to the NP is 3,225)</w:t>
      </w:r>
      <w:r w:rsidRPr="003A717B">
        <w:t xml:space="preserve"> and </w:t>
      </w:r>
      <w:r>
        <w:t>55</w:t>
      </w:r>
      <w:r w:rsidRPr="003A717B">
        <w:t xml:space="preserve">% of all homes would need to be delivered as affordable, with </w:t>
      </w:r>
      <w:r>
        <w:t>71</w:t>
      </w:r>
      <w:r w:rsidRPr="003A717B">
        <w:t xml:space="preserve">% of these as affordable housing for </w:t>
      </w:r>
      <w:r>
        <w:t>rent</w:t>
      </w:r>
      <w:r w:rsidRPr="003A717B">
        <w:t xml:space="preserve"> and </w:t>
      </w:r>
      <w:r>
        <w:t>29</w:t>
      </w:r>
      <w:r w:rsidRPr="003A717B">
        <w:t xml:space="preserve">% as affordable housing for </w:t>
      </w:r>
      <w:r>
        <w:t>sale</w:t>
      </w:r>
      <w:r w:rsidRPr="003A717B">
        <w:t>.</w:t>
      </w:r>
    </w:p>
    <w:p w14:paraId="314F9B1A" w14:textId="44032D0F" w:rsidR="008A604F" w:rsidRPr="003A717B" w:rsidRDefault="008A604F" w:rsidP="008A604F">
      <w:pPr>
        <w:pStyle w:val="ListNumber"/>
      </w:pPr>
      <w:r w:rsidRPr="00861EC1">
        <w:t xml:space="preserve">In line with these </w:t>
      </w:r>
      <w:r>
        <w:t>assumptions</w:t>
      </w:r>
      <w:r w:rsidRPr="00861EC1">
        <w:t>, the maximum Affordable Housing</w:t>
      </w:r>
      <w:r>
        <w:t xml:space="preserve"> delivery</w:t>
      </w:r>
      <w:r w:rsidRPr="00861EC1">
        <w:t xml:space="preserve"> that </w:t>
      </w:r>
      <w:r w:rsidR="00850DBB">
        <w:t>is likely to</w:t>
      </w:r>
      <w:r w:rsidR="00850DBB" w:rsidRPr="00861EC1">
        <w:t xml:space="preserve"> </w:t>
      </w:r>
      <w:r w:rsidRPr="00861EC1">
        <w:t xml:space="preserve">come forward over the plan period through </w:t>
      </w:r>
      <w:r>
        <w:t>planning obligations</w:t>
      </w:r>
      <w:r w:rsidRPr="00861EC1">
        <w:t xml:space="preserve"> would be </w:t>
      </w:r>
      <w:r>
        <w:t>1,129</w:t>
      </w:r>
      <w:r w:rsidRPr="00861EC1">
        <w:t xml:space="preserve"> units</w:t>
      </w:r>
      <w:r>
        <w:t xml:space="preserve"> (35% of the total housing requirement of 3,225 in line with the adopted Local Plan</w:t>
      </w:r>
      <w:r w:rsidR="00850DBB">
        <w:t xml:space="preserve">, which </w:t>
      </w:r>
      <w:r w:rsidR="00373B41">
        <w:t>is similar to the 35</w:t>
      </w:r>
      <w:r w:rsidR="00850DBB">
        <w:t>% requir</w:t>
      </w:r>
      <w:r w:rsidR="00373B41">
        <w:t>ement</w:t>
      </w:r>
      <w:r>
        <w:t xml:space="preserve"> in line with the emerging new Local Plan</w:t>
      </w:r>
      <w:r w:rsidR="00850DBB">
        <w:t xml:space="preserve"> for the wider Weymouth area, although for Weymouth town centre only 2</w:t>
      </w:r>
      <w:r w:rsidR="00373B41">
        <w:t>5</w:t>
      </w:r>
      <w:r w:rsidR="00850DBB">
        <w:t>% is required</w:t>
      </w:r>
      <w:r>
        <w:t>)</w:t>
      </w:r>
      <w:r w:rsidRPr="00861EC1">
        <w:t xml:space="preserve">. </w:t>
      </w:r>
    </w:p>
    <w:p w14:paraId="5BC10361" w14:textId="713BE03E" w:rsidR="002828B5" w:rsidRDefault="002828B5" w:rsidP="00947A30">
      <w:pPr>
        <w:pStyle w:val="Heading3"/>
      </w:pPr>
      <w:bookmarkStart w:id="40" w:name="_Toc64026772"/>
      <w:r>
        <w:t>Policy Considerations</w:t>
      </w:r>
      <w:bookmarkEnd w:id="40"/>
    </w:p>
    <w:p w14:paraId="55FE14E1" w14:textId="799704B1" w:rsidR="008A604F" w:rsidRPr="003A717B" w:rsidRDefault="008A604F" w:rsidP="008A604F">
      <w:pPr>
        <w:pStyle w:val="ListNumber"/>
      </w:pPr>
      <w:r w:rsidRPr="003A717B">
        <w:t>Note that this assumes that most or all of the expected housing delivery in the NA will take place after the Government’s proposal to temporarily lift the site size threshold for Affordable Housing has ended. If that period extends beyond the date on which the Neighbourhood Plan is made and also influences the rate of Affordable Housing delivery on relevant development sites, the quantity of Affordable Housing to be provided in the NA during the Plan period may be lower than th</w:t>
      </w:r>
      <w:r w:rsidR="00C751C4">
        <w:t>is</w:t>
      </w:r>
      <w:r w:rsidRPr="003A717B">
        <w:t xml:space="preserve"> estimate.</w:t>
      </w:r>
    </w:p>
    <w:p w14:paraId="0F73CCD0" w14:textId="418C7EA8" w:rsidR="008A604F" w:rsidRDefault="008A604F" w:rsidP="008A604F">
      <w:pPr>
        <w:pStyle w:val="ListNumber"/>
      </w:pPr>
      <w:r w:rsidRPr="001923DD">
        <w:t>Two indicative tenure mixes have been provided, which could serve as a guideline for the breakdown of Affordable Housing tenures in Weymouth based on various considerations and evidence. Mix 1 (indicative mix based on local needs) proposes that 90% of affordable homes be provided as rented tenures, and the remaining 10% delivered as affordable routes to home ownership.</w:t>
      </w:r>
      <w:r>
        <w:t xml:space="preserve"> This</w:t>
      </w:r>
      <w:r w:rsidRPr="001923DD">
        <w:t xml:space="preserve"> </w:t>
      </w:r>
      <w:r>
        <w:t>is in conformity</w:t>
      </w:r>
      <w:r w:rsidRPr="003A717B">
        <w:t xml:space="preserve"> with the </w:t>
      </w:r>
      <w:r>
        <w:t xml:space="preserve">adopted and emerging </w:t>
      </w:r>
      <w:r w:rsidRPr="003A717B">
        <w:t>Local Plan in prioritising the most acute needs as far as possible</w:t>
      </w:r>
      <w:r>
        <w:t>, delivering a minimum of 70% affordable housing for rent and a minimum 10% for sale</w:t>
      </w:r>
      <w:r w:rsidRPr="003A717B">
        <w:t>.</w:t>
      </w:r>
      <w:r w:rsidRPr="001923DD">
        <w:t xml:space="preserve"> </w:t>
      </w:r>
      <w:r w:rsidR="00CD491C">
        <w:t xml:space="preserve">Mix 1 would result in the </w:t>
      </w:r>
      <w:r w:rsidR="00850DBB">
        <w:t>1,129</w:t>
      </w:r>
      <w:r w:rsidR="00CD491C">
        <w:t xml:space="preserve"> maximum total affordable homes being broken down into a delivery of </w:t>
      </w:r>
      <w:r w:rsidR="00850DBB">
        <w:t xml:space="preserve">1,016 </w:t>
      </w:r>
      <w:r w:rsidR="00CD491C">
        <w:t xml:space="preserve">affordable homes for rent and </w:t>
      </w:r>
      <w:r w:rsidR="00850DBB">
        <w:t xml:space="preserve">113 </w:t>
      </w:r>
      <w:r w:rsidR="00CD491C">
        <w:t xml:space="preserve">affordable homes for sale. </w:t>
      </w:r>
      <w:r w:rsidRPr="001923DD">
        <w:t xml:space="preserve">Mix 2 (indicative mix with 25% First Homes requirement) proposes that 70% of affordable homes be provided as rented tenures, with the remaining 30% as affordable housing for sale, with the majority of this </w:t>
      </w:r>
      <w:r>
        <w:t xml:space="preserve">(25%) </w:t>
      </w:r>
      <w:r w:rsidRPr="001923DD">
        <w:t>as First Homes.</w:t>
      </w:r>
      <w:r w:rsidR="00CD491C">
        <w:t xml:space="preserve"> This would break the total </w:t>
      </w:r>
      <w:r w:rsidR="00850DBB">
        <w:t xml:space="preserve">1,126 </w:t>
      </w:r>
      <w:r w:rsidR="00CD491C">
        <w:t xml:space="preserve">affordable homes down into </w:t>
      </w:r>
      <w:r w:rsidR="00850DBB">
        <w:t>790</w:t>
      </w:r>
      <w:r w:rsidR="00CD491C">
        <w:t xml:space="preserve"> for rent and </w:t>
      </w:r>
      <w:r w:rsidR="00850DBB">
        <w:t xml:space="preserve">339 </w:t>
      </w:r>
      <w:r w:rsidR="00CD491C">
        <w:t>for sale.</w:t>
      </w:r>
      <w:r w:rsidRPr="001923DD">
        <w:t xml:space="preserve"> Th</w:t>
      </w:r>
      <w:r w:rsidR="00CD491C">
        <w:t>e latter mix</w:t>
      </w:r>
      <w:r w:rsidRPr="001923DD">
        <w:t xml:space="preserve"> aligns with the direction of proposed national policy, which includes a mandated minimum level of delivery of the Government’s new First Homes affordable home ownership product.</w:t>
      </w:r>
      <w:r>
        <w:t xml:space="preserve"> </w:t>
      </w:r>
    </w:p>
    <w:p w14:paraId="68850F91" w14:textId="5B56621B" w:rsidR="008A604F" w:rsidRPr="003A717B" w:rsidRDefault="008A604F" w:rsidP="008A604F">
      <w:pPr>
        <w:pStyle w:val="ListNumber"/>
      </w:pPr>
      <w:r>
        <w:t>Please note that th</w:t>
      </w:r>
      <w:r w:rsidR="00CD491C">
        <w:t>ese</w:t>
      </w:r>
      <w:r>
        <w:t xml:space="preserve"> mix</w:t>
      </w:r>
      <w:r w:rsidR="00CD491C">
        <w:t>es are</w:t>
      </w:r>
      <w:r>
        <w:t xml:space="preserve"> </w:t>
      </w:r>
      <w:r w:rsidR="00373B41">
        <w:t xml:space="preserve">optimistic and </w:t>
      </w:r>
      <w:r>
        <w:t xml:space="preserve">based on the average </w:t>
      </w:r>
      <w:r w:rsidR="00373B41">
        <w:t>35</w:t>
      </w:r>
      <w:r>
        <w:t>% affordable housing requirement</w:t>
      </w:r>
      <w:r w:rsidR="00850DBB">
        <w:t>, which in</w:t>
      </w:r>
      <w:r>
        <w:t xml:space="preserve"> the emerging new Local Plan</w:t>
      </w:r>
      <w:r w:rsidR="00850DBB">
        <w:t xml:space="preserve"> is assigned to the wider Weymouth area and tallies with the </w:t>
      </w:r>
      <w:r>
        <w:t xml:space="preserve"> 35% requirement in the adopted Local Plan,</w:t>
      </w:r>
      <w:r w:rsidR="00850DBB">
        <w:t xml:space="preserve"> rather than the </w:t>
      </w:r>
      <w:r w:rsidR="00373B41">
        <w:t>25</w:t>
      </w:r>
      <w:r w:rsidR="00850DBB">
        <w:t>% requirement in the emerging Local Plan for Weymouth Town Centre,</w:t>
      </w:r>
      <w:r>
        <w:t xml:space="preserve"> with the assumption that</w:t>
      </w:r>
      <w:r w:rsidR="00850DBB">
        <w:t xml:space="preserve"> housing delivery will be spread across the NA</w:t>
      </w:r>
      <w:r>
        <w:t xml:space="preserve">. </w:t>
      </w:r>
      <w:r w:rsidR="00373B41">
        <w:t>T</w:t>
      </w:r>
      <w:r w:rsidR="00850DBB">
        <w:t>hese numbers are likely to represent maximum delivery</w:t>
      </w:r>
      <w:r w:rsidR="00373B41">
        <w:t>, which will be lower if housing is primary delivered in the town centre. It is also worth bearing in mind</w:t>
      </w:r>
      <w:r w:rsidR="00850DBB">
        <w:t xml:space="preserve"> </w:t>
      </w:r>
      <w:r>
        <w:t xml:space="preserve"> the recent record of delivery of affordable housing in Weymouth and Portland, which has been only 13% in 2018-19 and 2017-18 and 24% in 2016-17 via planning obligations and which has included no affordable housing delivery at all on exception sites since 2012. </w:t>
      </w:r>
      <w:r w:rsidR="00850DBB">
        <w:t>A</w:t>
      </w:r>
      <w:r>
        <w:t xml:space="preserve">s the new Local Plan is currently still in draft and both it and delivery trends may change, we recommend that the group continue to monitor the progress of Dorset’s new Local Plan and determine any proposed mix in conversation with the local authority. </w:t>
      </w:r>
    </w:p>
    <w:p w14:paraId="7E0BD99B" w14:textId="0E3BC535" w:rsidR="008A604F" w:rsidRPr="00457973" w:rsidRDefault="008A604F" w:rsidP="008A604F">
      <w:pPr>
        <w:pStyle w:val="ListNumber"/>
      </w:pPr>
      <w:r w:rsidRPr="002A7348">
        <w:t xml:space="preserve">Expected </w:t>
      </w:r>
      <w:r w:rsidR="00850DBB">
        <w:t xml:space="preserve">maximum </w:t>
      </w:r>
      <w:r w:rsidRPr="002A7348">
        <w:t>delivery</w:t>
      </w:r>
      <w:r w:rsidR="00BE5E4F">
        <w:t xml:space="preserve"> through planning obligations</w:t>
      </w:r>
      <w:r w:rsidRPr="002A7348">
        <w:t xml:space="preserve"> under neither mix is likely to deliver adequate affordable housing to meet all of the estimated needs for the NA. AECOM therefore recommend that the policy requirement be met wherever possible and that the group may wish to explore further avenues for delivering greater quantities of Affordable Housing.</w:t>
      </w:r>
      <w:r>
        <w:t xml:space="preserve"> This could include, f</w:t>
      </w:r>
      <w:r w:rsidRPr="00457973">
        <w:t xml:space="preserve">or example, </w:t>
      </w:r>
      <w:r>
        <w:t>through a use of</w:t>
      </w:r>
      <w:r w:rsidRPr="00457973">
        <w:t xml:space="preserve"> community development orders, </w:t>
      </w:r>
      <w:r>
        <w:t xml:space="preserve">by </w:t>
      </w:r>
      <w:r w:rsidRPr="00457973">
        <w:t xml:space="preserve">identifying exception sites or </w:t>
      </w:r>
      <w:r>
        <w:t xml:space="preserve">by </w:t>
      </w:r>
      <w:r w:rsidRPr="00457973">
        <w:t xml:space="preserve">developing </w:t>
      </w:r>
      <w:r>
        <w:t xml:space="preserve">a </w:t>
      </w:r>
      <w:r w:rsidRPr="00457973">
        <w:t>community land trust</w:t>
      </w:r>
      <w:r>
        <w:t>. These</w:t>
      </w:r>
      <w:r w:rsidRPr="00457973">
        <w:t xml:space="preserve"> are all tried and tested ways of boosting the supply of affordable housing above the minima indicated by Local Plan policy.</w:t>
      </w:r>
    </w:p>
    <w:p w14:paraId="27A804F3" w14:textId="1BFE8F3C" w:rsidR="008A604F" w:rsidRDefault="008A604F" w:rsidP="008A604F">
      <w:pPr>
        <w:pStyle w:val="ListNumber"/>
      </w:pPr>
      <w:r w:rsidRPr="00457973">
        <w:t xml:space="preserve">It is not recommended that the Local Plan policy requirement be exceeded in the neighbourhood plan because such steps are rarely accepted by planning inspectors on the grounds that an extremely high standard of justification is required which goes beyond the scope of this HNA, in particular around the issue of what level of Affordable Housing delivery can be financially viable in the NA. Raising the </w:t>
      </w:r>
      <w:r>
        <w:t xml:space="preserve">total </w:t>
      </w:r>
      <w:r w:rsidRPr="00457973">
        <w:t>percentage of Affordable Housing required could, furthermore, have the effect of discouraging new building from coming forward altogether. There is a possibility of arguing for adoption of a 35% affordable housing target in the Neighbourhood Plan while the currently adopted Local Plan is still in place, as well as a possibility of arguing for a 30% target</w:t>
      </w:r>
      <w:r w:rsidR="00BE5E4F">
        <w:t xml:space="preserve"> for Weymouth town centre,</w:t>
      </w:r>
      <w:r w:rsidRPr="00457973">
        <w:t xml:space="preserve"> in line with the potential range</w:t>
      </w:r>
      <w:r w:rsidR="00373B41">
        <w:t>s mentioned in Figure 4.2 of the emerging Local Plan</w:t>
      </w:r>
      <w:r w:rsidRPr="00457973">
        <w:t>. While this will not guarantee delivery, it could all be helpful to maximise affordable housing delivery in the NA. Should the group wish to consider such an option, it is advisable to discuss this with the LPA in the first instance</w:t>
      </w:r>
      <w:r>
        <w:t>. T</w:t>
      </w:r>
      <w:r w:rsidRPr="00457973">
        <w:t xml:space="preserve">he information contained in this HNA could be used to inform the discussion. </w:t>
      </w:r>
    </w:p>
    <w:p w14:paraId="73D298A5" w14:textId="75AF1B29" w:rsidR="008A604F" w:rsidRDefault="008A604F" w:rsidP="008A604F">
      <w:pPr>
        <w:pStyle w:val="ListNumber"/>
      </w:pPr>
      <w:r w:rsidRPr="00616B01">
        <w:t xml:space="preserve">The findings of this chapter on the potential for providing affordable and low-cost tenures across the Neighbourhood Plan area </w:t>
      </w:r>
      <w:r w:rsidRPr="00457973">
        <w:t>align</w:t>
      </w:r>
      <w:r w:rsidRPr="00616B01">
        <w:t xml:space="preserve"> with those of the </w:t>
      </w:r>
      <w:r>
        <w:t xml:space="preserve">latest </w:t>
      </w:r>
      <w:r w:rsidRPr="00616B01">
        <w:t>SHMA</w:t>
      </w:r>
      <w:r>
        <w:t xml:space="preserve"> for Weymouth and Portland</w:t>
      </w:r>
      <w:r w:rsidRPr="00616B01">
        <w:t>.</w:t>
      </w:r>
      <w:r>
        <w:t xml:space="preserve"> AECOM’s affordable housing need calculations also use the SHMAs analysis and data as a starting point. The SHMA </w:t>
      </w:r>
      <w:r w:rsidRPr="00645C74">
        <w:t>identifie</w:t>
      </w:r>
      <w:r>
        <w:t xml:space="preserve">d a net annual </w:t>
      </w:r>
      <w:r w:rsidRPr="00645C74">
        <w:t xml:space="preserve">need </w:t>
      </w:r>
      <w:r>
        <w:t>for Weymouth and Portland, based on local housing market conditions, in line with the outputs of an adjusted model based on locally specific affordability assumptions (see SHMA table 5.14)</w:t>
      </w:r>
      <w:r w:rsidRPr="00645C74">
        <w:t xml:space="preserve">. </w:t>
      </w:r>
      <w:r>
        <w:t xml:space="preserve">This need was then disaggregated by size and type of home, identifying a predominant need </w:t>
      </w:r>
      <w:r w:rsidRPr="00F04D60">
        <w:t>for social/affordable rent</w:t>
      </w:r>
      <w:r>
        <w:t>ed properties (71%)</w:t>
      </w:r>
      <w:r w:rsidRPr="00F04D60">
        <w:t xml:space="preserve"> as </w:t>
      </w:r>
      <w:r>
        <w:t>this</w:t>
      </w:r>
      <w:r w:rsidRPr="00F04D60">
        <w:t xml:space="preserve"> relates to households who live in unsuitable housing and who cannot afford to access market rents. A proportion of households</w:t>
      </w:r>
      <w:r>
        <w:t xml:space="preserve"> (29%) were also identified by the SHMA as being likely to afford affordable routes to home ownership such as shared ownership or discount home ownership. This results in a similar split as Mix 2 proposed above. The updated AECOM analysis judges the SHMA estimate of affordable housing need to be a reasonable minimum and that the full extent of households who may be interested in affordable home ownership could potentially be much higher. However, the latter is a less urgent need as these households are</w:t>
      </w:r>
      <w:r w:rsidRPr="004D4868">
        <w:t xml:space="preserve">, by and large, adequately housed in the private rented sector. They do not lack their own housing but would prefer to buy rather than rent. </w:t>
      </w:r>
    </w:p>
    <w:p w14:paraId="793EF0EA" w14:textId="77777777" w:rsidR="00CD491C" w:rsidRDefault="00CD491C" w:rsidP="00CD491C">
      <w:pPr>
        <w:pStyle w:val="Heading2"/>
        <w:numPr>
          <w:ilvl w:val="1"/>
          <w:numId w:val="31"/>
        </w:numPr>
        <w:jc w:val="both"/>
      </w:pPr>
      <w:bookmarkStart w:id="41" w:name="_Toc55379833"/>
      <w:bookmarkStart w:id="42" w:name="_Toc64026773"/>
      <w:r>
        <w:t>Type and Size</w:t>
      </w:r>
      <w:bookmarkEnd w:id="41"/>
      <w:bookmarkEnd w:id="42"/>
    </w:p>
    <w:p w14:paraId="64E0BE87" w14:textId="77777777" w:rsidR="00CD491C" w:rsidRDefault="00CD491C" w:rsidP="00CD491C">
      <w:pPr>
        <w:pStyle w:val="ListNumber"/>
      </w:pPr>
      <w:r>
        <w:t>The analysis in this part of our HNA provides an indication of the likely need for different types and sizes of homes based on demographic change. It is important to remember that other factors should be considered in determining the dwelling mix that is desirable in the NA or on any particular site. These include the characteristics of the existing stock of housing, the role of the NA or site within the wider housing market area (linked to any LA strategies or plans), and site-specific factors which may justify a particular dwelling mix.</w:t>
      </w:r>
    </w:p>
    <w:p w14:paraId="14BAC4F7" w14:textId="48F43751" w:rsidR="002828B5" w:rsidRDefault="002828B5" w:rsidP="00947A30">
      <w:pPr>
        <w:pStyle w:val="Heading3"/>
      </w:pPr>
      <w:bookmarkStart w:id="43" w:name="_Toc64026774"/>
      <w:r>
        <w:t>Existing Housing Stock</w:t>
      </w:r>
      <w:bookmarkEnd w:id="43"/>
      <w:r>
        <w:t xml:space="preserve"> </w:t>
      </w:r>
    </w:p>
    <w:p w14:paraId="1CFA3DE0" w14:textId="2590DF87" w:rsidR="00CD491C" w:rsidRDefault="00CD491C" w:rsidP="00CD491C">
      <w:pPr>
        <w:pStyle w:val="ListNumber"/>
      </w:pPr>
      <w:r>
        <w:t xml:space="preserve">In terms of </w:t>
      </w:r>
      <w:r w:rsidR="00884150">
        <w:t>the existing housing mix</w:t>
      </w:r>
      <w:r>
        <w:t xml:space="preserve">, in 2011 Weymouth was home to 23,360 </w:t>
      </w:r>
      <w:r w:rsidRPr="008411EA">
        <w:t xml:space="preserve">households, </w:t>
      </w:r>
      <w:r>
        <w:t>living in 5,505</w:t>
      </w:r>
      <w:r w:rsidRPr="008411EA">
        <w:t xml:space="preserve"> semi-detached, </w:t>
      </w:r>
      <w:r>
        <w:t>6,689</w:t>
      </w:r>
      <w:r w:rsidRPr="008411EA">
        <w:t xml:space="preserve"> terraced houses, and </w:t>
      </w:r>
      <w:r>
        <w:t>6,594</w:t>
      </w:r>
      <w:r w:rsidRPr="008411EA">
        <w:t xml:space="preserve"> flats. </w:t>
      </w:r>
      <w:r>
        <w:t>Overall, there are fewer detached properties in Weymouth than in Dorset overall and more terraced homes and flats.</w:t>
      </w:r>
      <w:r w:rsidRPr="008411EA">
        <w:t xml:space="preserve"> </w:t>
      </w:r>
      <w:r>
        <w:t>This type mix also tallies with the size mix in Weymouth, showing more smaller (1-3 room / 1-2 bedroom) properties and fewer very large (7-9 rooms / 4+ bedroom) homes than across Dorset. The most common size of home is 5 rooms / 3 bedrooms both for Weymouth and for Dorset</w:t>
      </w:r>
      <w:r w:rsidRPr="00374C95">
        <w:t>.</w:t>
      </w:r>
      <w:r>
        <w:t xml:space="preserve"> </w:t>
      </w:r>
    </w:p>
    <w:p w14:paraId="47248561" w14:textId="77777777" w:rsidR="00CD491C" w:rsidRDefault="00CD491C" w:rsidP="00CD491C">
      <w:pPr>
        <w:pStyle w:val="ListNumber"/>
      </w:pPr>
      <w:r>
        <w:t>The local authority’s Annual Monitoring Reports for the period from 2012 to 2018, show that delivery in Weymouth and Portland was mainly concentrated on 2-3 bed houses, followed by 1-2 bed flats. Market houses permitted were more commonly 2-3 bed properties and affordable housing was mainly secured as 2 bed homes, with some 1 and 3 bed properties but no larger units at all. This suggests that since the 2011 Census, the prevalence of smaller over larger properties in Weymouth will have increased.</w:t>
      </w:r>
    </w:p>
    <w:p w14:paraId="1D8BF442" w14:textId="48A8F621" w:rsidR="002828B5" w:rsidRDefault="002828B5" w:rsidP="00947A30">
      <w:pPr>
        <w:pStyle w:val="Heading3"/>
      </w:pPr>
      <w:bookmarkStart w:id="44" w:name="_Toc64026775"/>
      <w:bookmarkStart w:id="45" w:name="_Toc64026776"/>
      <w:bookmarkEnd w:id="44"/>
      <w:r>
        <w:t>Demographics</w:t>
      </w:r>
      <w:bookmarkEnd w:id="45"/>
    </w:p>
    <w:p w14:paraId="108CA0B6" w14:textId="4CD18945" w:rsidR="00CD491C" w:rsidRDefault="00CD491C" w:rsidP="00CD491C">
      <w:pPr>
        <w:pStyle w:val="ListNumber"/>
      </w:pPr>
      <w:r>
        <w:t>In terms of age structure, the 2011 C</w:t>
      </w:r>
      <w:r w:rsidRPr="005F50BC">
        <w:t>ensus data reveals that</w:t>
      </w:r>
      <w:r>
        <w:t xml:space="preserve"> Weymouth, when compared to Dorset, has a similar proportion of under 25s, a slightly higher proportion of 25-44 year olds, a similar proportion of 45-64 year olds and a slightly lower proportion of older people over the age of 65.</w:t>
      </w:r>
      <w:r w:rsidRPr="005F50BC">
        <w:t xml:space="preserve"> </w:t>
      </w:r>
      <w:r>
        <w:t>However, the proportions of children, young and working age people are lower in Weymouth and Dorset than nationally, and the proportion of over 65s is higher. The intercensal data 2001-2011 points towards a decline in the proportion of young families with young children, a rise in families with older children and an increase in older persons as proportions of the population from 2001-2011. Overall, the population of Weymouth is showing an aging trend. This is not too dissimilar from the trends observed across Dorset and England as a whole, although over 85s have shown a much larger increase in Dorset and England than in Weymouth and the younger working age population (25-44) has shown a slight increase across England, compared to a 9% decline in Weymouth and Dorset.</w:t>
      </w:r>
    </w:p>
    <w:p w14:paraId="7DFE1086" w14:textId="77777777" w:rsidR="00CD491C" w:rsidRPr="005F50BC" w:rsidRDefault="00CD491C" w:rsidP="00CD491C">
      <w:pPr>
        <w:pStyle w:val="ListNumber"/>
      </w:pPr>
      <w:r>
        <w:t>In terms of the Weymouth household composition, this is very similar to</w:t>
      </w:r>
      <w:r w:rsidRPr="00CA73BD">
        <w:t xml:space="preserve"> </w:t>
      </w:r>
      <w:r>
        <w:t xml:space="preserve">that of </w:t>
      </w:r>
      <w:r w:rsidRPr="00CA73BD">
        <w:t>the LA</w:t>
      </w:r>
      <w:r>
        <w:t xml:space="preserve"> and the rest of the country, with 33% single households, 61% family households and 6% other households. The proportions of single households under the age of 65 and family households over the age of 65 are slightly higher in Weymouth. Between 2001 and 2011,</w:t>
      </w:r>
      <w:r w:rsidRPr="00CA73BD">
        <w:t xml:space="preserve"> the</w:t>
      </w:r>
      <w:r>
        <w:t xml:space="preserve"> main changes in household composition were</w:t>
      </w:r>
      <w:r w:rsidRPr="00CA73BD">
        <w:t xml:space="preserve"> </w:t>
      </w:r>
      <w:r>
        <w:t>an increase in single households by almost 10%.</w:t>
      </w:r>
    </w:p>
    <w:p w14:paraId="16CCDD8B" w14:textId="77777777" w:rsidR="00CD491C" w:rsidRPr="00C057DA" w:rsidRDefault="00CD491C" w:rsidP="00CD491C">
      <w:pPr>
        <w:pStyle w:val="ListNumber"/>
      </w:pPr>
      <w:r>
        <w:t>In terms of dwelling mix by age, the data shows that younger households occupy smaller housing, primarily with 2 bedrooms. The prevalence of 3 and 4 bedroom properties then increases steadily towards the 40-60 year age group. After this, the proportions of 1 and 2 bed properties rises again, with the popularity of 3 and 4 bed properties declining. However, these changes to not return households to the same situation as those under the age of 30. Over 85s occupy a similar size of home as 30-35 year olds. These trends are similar across the country, with households occupying increasingly larger homes as their families and incomes growth towards the middle of their life, and then becoming more likely to occupy a smaller home again later in life as children move out and the family earners retire. However, in older age, many households then under-occupy their home as the incentive to downsize out of their former family home is not sufficiently large.</w:t>
      </w:r>
    </w:p>
    <w:p w14:paraId="737A5B11" w14:textId="7C8A2A46" w:rsidR="002828B5" w:rsidRDefault="002828B5" w:rsidP="00947A30">
      <w:pPr>
        <w:pStyle w:val="Heading3"/>
      </w:pPr>
      <w:bookmarkStart w:id="46" w:name="_Toc64026777"/>
      <w:r>
        <w:t>Future Requirements</w:t>
      </w:r>
      <w:bookmarkEnd w:id="46"/>
    </w:p>
    <w:p w14:paraId="4C5BD086" w14:textId="2E22433E" w:rsidR="00CD491C" w:rsidRDefault="00CD491C" w:rsidP="00CD491C">
      <w:pPr>
        <w:pStyle w:val="ListNumber"/>
      </w:pPr>
      <w:r>
        <w:t>Over the plan period, the greatest increase in housing stock in Weymouth is required in middle sized homes of three- and two-bedrooms (48 and 35% respectively) with only minor additions of 7-9% needed to the stock in the smaller and larger 1 and 4 bedroom size categories</w:t>
      </w:r>
      <w:r w:rsidRPr="00AC0E8A">
        <w:t>.</w:t>
      </w:r>
      <w:r>
        <w:t xml:space="preserve"> The lowest increase is required in the largest, 5 or more bedroom category (0.5%). Therefore, new dwelling stock should provide some mix of all sizes of properties, but primarily deliver 2-3 bed properties</w:t>
      </w:r>
      <w:r w:rsidRPr="0058175D">
        <w:t>.</w:t>
      </w:r>
      <w:r>
        <w:t xml:space="preserve"> This dwelling mix in percentage terms stands alone from the overall quantity of housing needed or allocated over the Plan period, and could equally apply to windfall development, allocations beyond the plan period, or any other source of housing supply.</w:t>
      </w:r>
    </w:p>
    <w:p w14:paraId="1E034F01" w14:textId="77777777" w:rsidR="002828B5" w:rsidRPr="00227631" w:rsidRDefault="002828B5" w:rsidP="002828B5">
      <w:pPr>
        <w:pStyle w:val="ListNumber"/>
      </w:pPr>
      <w:r>
        <w:t xml:space="preserve">The SHMA findings generally concur with the findings of our HNA, adding some interesting information, for example projecting a decline in couple with children households and the largest growth being in lone parent households. </w:t>
      </w:r>
      <w:r w:rsidRPr="00227631">
        <w:t>The model also indicate</w:t>
      </w:r>
      <w:r>
        <w:t>d</w:t>
      </w:r>
      <w:r w:rsidRPr="00227631">
        <w:t xml:space="preserve"> that new owner-occupied accommodation should principally be </w:t>
      </w:r>
      <w:r>
        <w:t>2-4</w:t>
      </w:r>
      <w:r w:rsidRPr="00227631">
        <w:t xml:space="preserve"> bedroom homes and new private rented housing should be </w:t>
      </w:r>
      <w:r>
        <w:t>1-2</w:t>
      </w:r>
      <w:r w:rsidRPr="00227631">
        <w:t xml:space="preserve"> bedroom properties.</w:t>
      </w:r>
    </w:p>
    <w:p w14:paraId="110FA7DA" w14:textId="77777777" w:rsidR="00CD491C" w:rsidRDefault="00CD491C" w:rsidP="00CD491C">
      <w:pPr>
        <w:pStyle w:val="Heading2"/>
        <w:numPr>
          <w:ilvl w:val="1"/>
          <w:numId w:val="31"/>
        </w:numPr>
        <w:rPr>
          <w:shd w:val="clear" w:color="auto" w:fill="FFFFFF"/>
        </w:rPr>
      </w:pPr>
      <w:bookmarkStart w:id="47" w:name="_Toc64026778"/>
      <w:bookmarkStart w:id="48" w:name="_Toc64026779"/>
      <w:bookmarkEnd w:id="47"/>
      <w:r>
        <w:rPr>
          <w:shd w:val="clear" w:color="auto" w:fill="FFFFFF"/>
        </w:rPr>
        <w:t>Specialist Housing for Older People</w:t>
      </w:r>
      <w:bookmarkEnd w:id="48"/>
    </w:p>
    <w:p w14:paraId="1D0ECC38" w14:textId="234F1A00" w:rsidR="00CD491C" w:rsidRPr="00826421" w:rsidRDefault="0082064E" w:rsidP="00CD491C">
      <w:pPr>
        <w:numPr>
          <w:ilvl w:val="0"/>
          <w:numId w:val="15"/>
        </w:numPr>
        <w:spacing w:before="0" w:after="120"/>
        <w:jc w:val="both"/>
        <w:rPr>
          <w:sz w:val="18"/>
          <w:szCs w:val="18"/>
          <w:lang w:val="en-US"/>
        </w:rPr>
      </w:pPr>
      <w:r>
        <w:rPr>
          <w:sz w:val="18"/>
          <w:szCs w:val="18"/>
          <w:lang w:val="en-US"/>
        </w:rPr>
        <w:t xml:space="preserve">This analysis of the need for specialist housing for older people uses two projections, the first from AECOM’s tenure-led projection and the second from Housing LIN recommendations. </w:t>
      </w:r>
      <w:r w:rsidR="00CD491C" w:rsidRPr="00826421">
        <w:rPr>
          <w:sz w:val="18"/>
          <w:szCs w:val="18"/>
          <w:lang w:val="en-US"/>
        </w:rPr>
        <w:t xml:space="preserve">In comparing the outcomes of the tenure-led projections and the Housing LIN recommendations, it is important not to assume direct equivalence of the type of housing deemed suitable for those whose </w:t>
      </w:r>
      <w:r w:rsidR="00CD491C">
        <w:rPr>
          <w:sz w:val="18"/>
          <w:szCs w:val="18"/>
          <w:lang w:val="en-US"/>
        </w:rPr>
        <w:t>lives</w:t>
      </w:r>
      <w:r w:rsidR="00CD491C" w:rsidRPr="00826421">
        <w:rPr>
          <w:sz w:val="18"/>
          <w:szCs w:val="18"/>
          <w:lang w:val="en-US"/>
        </w:rPr>
        <w:t xml:space="preserve"> are limited ‘a little’ in </w:t>
      </w:r>
      <w:r w:rsidR="00CD491C" w:rsidRPr="00826421">
        <w:rPr>
          <w:sz w:val="18"/>
          <w:szCs w:val="18"/>
          <w:lang w:val="en-US"/>
        </w:rPr>
        <w:fldChar w:fldCharType="begin"/>
      </w:r>
      <w:r w:rsidR="00CD491C" w:rsidRPr="00826421">
        <w:rPr>
          <w:sz w:val="18"/>
          <w:szCs w:val="18"/>
          <w:lang w:val="en-US"/>
        </w:rPr>
        <w:instrText xml:space="preserve"> REF _Ref4491677 \h  \* MERGEFORMAT </w:instrText>
      </w:r>
      <w:r w:rsidR="00CD491C" w:rsidRPr="00826421">
        <w:rPr>
          <w:sz w:val="18"/>
          <w:szCs w:val="18"/>
          <w:lang w:val="en-US"/>
        </w:rPr>
      </w:r>
      <w:r w:rsidR="00CD491C" w:rsidRPr="00826421">
        <w:rPr>
          <w:sz w:val="18"/>
          <w:szCs w:val="18"/>
          <w:lang w:val="en-US"/>
        </w:rPr>
        <w:fldChar w:fldCharType="separate"/>
      </w:r>
      <w:r w:rsidR="00CD491C" w:rsidRPr="00603781">
        <w:rPr>
          <w:sz w:val="18"/>
          <w:szCs w:val="18"/>
          <w:lang w:val="en-US"/>
        </w:rPr>
        <w:t xml:space="preserve">Table </w:t>
      </w:r>
      <w:r w:rsidR="00CD491C" w:rsidRPr="00603781">
        <w:rPr>
          <w:noProof/>
          <w:sz w:val="18"/>
          <w:szCs w:val="18"/>
          <w:lang w:val="en-US"/>
        </w:rPr>
        <w:t>6</w:t>
      </w:r>
      <w:r w:rsidR="00CD491C" w:rsidRPr="00603781">
        <w:rPr>
          <w:noProof/>
          <w:sz w:val="18"/>
          <w:szCs w:val="18"/>
          <w:lang w:val="en-US"/>
        </w:rPr>
        <w:noBreakHyphen/>
        <w:t>7</w:t>
      </w:r>
      <w:r w:rsidR="00CD491C" w:rsidRPr="00826421">
        <w:rPr>
          <w:sz w:val="18"/>
          <w:szCs w:val="18"/>
          <w:lang w:val="en-US"/>
        </w:rPr>
        <w:fldChar w:fldCharType="end"/>
      </w:r>
      <w:r w:rsidR="00CD491C">
        <w:rPr>
          <w:sz w:val="18"/>
          <w:szCs w:val="18"/>
          <w:lang w:val="en-US"/>
        </w:rPr>
        <w:t xml:space="preserve"> </w:t>
      </w:r>
      <w:r w:rsidR="00CD491C" w:rsidRPr="00826421">
        <w:rPr>
          <w:sz w:val="18"/>
          <w:szCs w:val="18"/>
          <w:lang w:val="en-US"/>
        </w:rPr>
        <w:t xml:space="preserve">with ‘sheltered housing’ in </w:t>
      </w:r>
      <w:r w:rsidR="00CD491C" w:rsidRPr="00826421">
        <w:rPr>
          <w:sz w:val="18"/>
          <w:szCs w:val="18"/>
          <w:lang w:val="en-US"/>
        </w:rPr>
        <w:fldChar w:fldCharType="begin"/>
      </w:r>
      <w:r w:rsidR="00CD491C" w:rsidRPr="00826421">
        <w:rPr>
          <w:sz w:val="18"/>
          <w:szCs w:val="18"/>
          <w:lang w:val="en-US"/>
        </w:rPr>
        <w:instrText xml:space="preserve"> REF _Ref531084105 \h  \* MERGEFORMAT </w:instrText>
      </w:r>
      <w:r w:rsidR="00CD491C" w:rsidRPr="00826421">
        <w:rPr>
          <w:sz w:val="18"/>
          <w:szCs w:val="18"/>
          <w:lang w:val="en-US"/>
        </w:rPr>
      </w:r>
      <w:r w:rsidR="00CD491C" w:rsidRPr="00826421">
        <w:rPr>
          <w:sz w:val="18"/>
          <w:szCs w:val="18"/>
          <w:lang w:val="en-US"/>
        </w:rPr>
        <w:fldChar w:fldCharType="separate"/>
      </w:r>
      <w:r w:rsidR="00CD491C" w:rsidRPr="00603781">
        <w:rPr>
          <w:sz w:val="18"/>
          <w:szCs w:val="18"/>
          <w:lang w:val="en-US"/>
        </w:rPr>
        <w:t xml:space="preserve">Table </w:t>
      </w:r>
      <w:r w:rsidR="00CD491C" w:rsidRPr="00603781">
        <w:rPr>
          <w:noProof/>
          <w:sz w:val="18"/>
          <w:szCs w:val="18"/>
          <w:lang w:val="en-US"/>
        </w:rPr>
        <w:t>6</w:t>
      </w:r>
      <w:r w:rsidR="00CD491C" w:rsidRPr="00603781">
        <w:rPr>
          <w:noProof/>
          <w:sz w:val="18"/>
          <w:szCs w:val="18"/>
          <w:lang w:val="en-US"/>
        </w:rPr>
        <w:noBreakHyphen/>
        <w:t>9</w:t>
      </w:r>
      <w:r w:rsidR="00CD491C" w:rsidRPr="00826421">
        <w:rPr>
          <w:sz w:val="18"/>
          <w:szCs w:val="18"/>
          <w:lang w:val="en-US"/>
        </w:rPr>
        <w:fldChar w:fldCharType="end"/>
      </w:r>
      <w:r w:rsidR="00CD491C">
        <w:rPr>
          <w:sz w:val="18"/>
          <w:szCs w:val="18"/>
          <w:lang w:val="en-US"/>
        </w:rPr>
        <w:t xml:space="preserve"> </w:t>
      </w:r>
      <w:r w:rsidR="00CD491C" w:rsidRPr="00826421">
        <w:rPr>
          <w:sz w:val="18"/>
          <w:szCs w:val="18"/>
          <w:lang w:val="en-US"/>
        </w:rPr>
        <w:t xml:space="preserve">even though both types of housing address the needs of those with relatively </w:t>
      </w:r>
      <w:r w:rsidR="00CD491C">
        <w:rPr>
          <w:sz w:val="18"/>
          <w:szCs w:val="18"/>
          <w:lang w:val="en-US"/>
        </w:rPr>
        <w:t>limited support needs</w:t>
      </w:r>
      <w:r w:rsidR="00CD491C" w:rsidRPr="00826421">
        <w:rPr>
          <w:sz w:val="18"/>
          <w:szCs w:val="18"/>
          <w:lang w:val="en-US"/>
        </w:rPr>
        <w:t>. This is because there is a range of housing suitable for this group of the population</w:t>
      </w:r>
      <w:r w:rsidR="00CD491C">
        <w:rPr>
          <w:sz w:val="18"/>
          <w:szCs w:val="18"/>
          <w:lang w:val="en-US"/>
        </w:rPr>
        <w:t xml:space="preserve"> including mainstream housing</w:t>
      </w:r>
      <w:r w:rsidR="00CD491C" w:rsidRPr="00826421">
        <w:rPr>
          <w:sz w:val="18"/>
          <w:szCs w:val="18"/>
          <w:lang w:val="en-US"/>
        </w:rPr>
        <w:t>, whereas the HLIN identifies only sheltered housing specifically.</w:t>
      </w:r>
    </w:p>
    <w:p w14:paraId="5BBD49FF" w14:textId="508DDBC8" w:rsidR="00CD491C" w:rsidRPr="00826421" w:rsidRDefault="00CD491C" w:rsidP="00CD491C">
      <w:pPr>
        <w:numPr>
          <w:ilvl w:val="0"/>
          <w:numId w:val="15"/>
        </w:numPr>
        <w:spacing w:before="0" w:after="120"/>
        <w:jc w:val="both"/>
        <w:rPr>
          <w:sz w:val="18"/>
          <w:szCs w:val="18"/>
          <w:lang w:val="en-US"/>
        </w:rPr>
      </w:pPr>
      <w:r w:rsidRPr="00826421">
        <w:rPr>
          <w:sz w:val="18"/>
          <w:szCs w:val="18"/>
          <w:lang w:val="en-US"/>
        </w:rPr>
        <w:t xml:space="preserve">A more accurate result, therefore, can be achieved by comparing the </w:t>
      </w:r>
      <w:r w:rsidR="0008380D">
        <w:rPr>
          <w:sz w:val="18"/>
          <w:szCs w:val="18"/>
          <w:lang w:val="en-US"/>
        </w:rPr>
        <w:t>1,029</w:t>
      </w:r>
      <w:r w:rsidRPr="00826421">
        <w:rPr>
          <w:sz w:val="18"/>
          <w:szCs w:val="18"/>
          <w:lang w:val="en-US"/>
        </w:rPr>
        <w:t xml:space="preserve"> dwellings identified in the tenure-led approach for those who require housing with care with the </w:t>
      </w:r>
      <w:r>
        <w:rPr>
          <w:sz w:val="18"/>
          <w:szCs w:val="18"/>
          <w:lang w:val="en-US"/>
        </w:rPr>
        <w:t>1,374</w:t>
      </w:r>
      <w:r w:rsidRPr="00826421">
        <w:rPr>
          <w:sz w:val="18"/>
          <w:szCs w:val="18"/>
          <w:lang w:val="en-US"/>
        </w:rPr>
        <w:t xml:space="preserve"> specialist dwellings that emerge from the HLIN calculations. By contrast, the </w:t>
      </w:r>
      <w:r>
        <w:rPr>
          <w:sz w:val="18"/>
          <w:szCs w:val="18"/>
          <w:lang w:val="en-US"/>
        </w:rPr>
        <w:t xml:space="preserve">total </w:t>
      </w:r>
      <w:r w:rsidR="0008380D">
        <w:rPr>
          <w:sz w:val="18"/>
          <w:szCs w:val="18"/>
          <w:lang w:val="en-US"/>
        </w:rPr>
        <w:t>2,291</w:t>
      </w:r>
      <w:r w:rsidRPr="00826421">
        <w:rPr>
          <w:sz w:val="18"/>
          <w:szCs w:val="18"/>
          <w:lang w:val="en-US"/>
        </w:rPr>
        <w:t xml:space="preserve"> figure in the tenure-led projections is </w:t>
      </w:r>
      <w:r>
        <w:rPr>
          <w:sz w:val="18"/>
          <w:szCs w:val="18"/>
          <w:lang w:val="en-US"/>
        </w:rPr>
        <w:t xml:space="preserve">also </w:t>
      </w:r>
      <w:r w:rsidRPr="00826421">
        <w:rPr>
          <w:sz w:val="18"/>
          <w:szCs w:val="18"/>
          <w:lang w:val="en-US"/>
        </w:rPr>
        <w:t>based on those whose day-to-day needs are limited only a little, and whose housing needs therefore have the potential to be provided through adaptations to a conventional home.</w:t>
      </w:r>
    </w:p>
    <w:p w14:paraId="07CCAAAF" w14:textId="35E4000C" w:rsidR="00CD491C" w:rsidRPr="00826421" w:rsidRDefault="00CD491C" w:rsidP="00CD491C">
      <w:pPr>
        <w:numPr>
          <w:ilvl w:val="0"/>
          <w:numId w:val="15"/>
        </w:numPr>
        <w:spacing w:before="0" w:after="120"/>
        <w:jc w:val="both"/>
        <w:rPr>
          <w:sz w:val="18"/>
          <w:szCs w:val="18"/>
          <w:lang w:val="en-US"/>
        </w:rPr>
      </w:pPr>
      <w:r w:rsidRPr="00826421">
        <w:rPr>
          <w:sz w:val="18"/>
          <w:szCs w:val="18"/>
          <w:lang w:val="en-US"/>
        </w:rPr>
        <w:t>For this reason, our recommendation would be to treat the</w:t>
      </w:r>
      <w:r>
        <w:rPr>
          <w:sz w:val="18"/>
          <w:szCs w:val="18"/>
          <w:lang w:val="en-US"/>
        </w:rPr>
        <w:t xml:space="preserve"> outcome of the</w:t>
      </w:r>
      <w:r w:rsidRPr="00826421">
        <w:rPr>
          <w:sz w:val="18"/>
          <w:szCs w:val="18"/>
          <w:lang w:val="en-US"/>
        </w:rPr>
        <w:t xml:space="preserve">se </w:t>
      </w:r>
      <w:r>
        <w:rPr>
          <w:sz w:val="18"/>
          <w:szCs w:val="18"/>
          <w:lang w:val="en-US"/>
        </w:rPr>
        <w:t>approaches</w:t>
      </w:r>
      <w:r w:rsidRPr="00826421">
        <w:rPr>
          <w:sz w:val="18"/>
          <w:szCs w:val="18"/>
          <w:lang w:val="en-US"/>
        </w:rPr>
        <w:t xml:space="preserve"> as a range, with at least </w:t>
      </w:r>
      <w:r w:rsidR="0008380D">
        <w:rPr>
          <w:sz w:val="18"/>
          <w:szCs w:val="18"/>
          <w:lang w:val="en-US"/>
        </w:rPr>
        <w:t>1,029</w:t>
      </w:r>
      <w:r w:rsidRPr="00826421">
        <w:rPr>
          <w:sz w:val="18"/>
          <w:szCs w:val="18"/>
          <w:lang w:val="en-US"/>
        </w:rPr>
        <w:t xml:space="preserve"> specialist dwellings being required to service the needs of </w:t>
      </w:r>
      <w:r>
        <w:rPr>
          <w:sz w:val="18"/>
          <w:szCs w:val="18"/>
          <w:lang w:val="en-US"/>
        </w:rPr>
        <w:t>older</w:t>
      </w:r>
      <w:r w:rsidRPr="00826421">
        <w:rPr>
          <w:sz w:val="18"/>
          <w:szCs w:val="18"/>
          <w:lang w:val="en-US"/>
        </w:rPr>
        <w:t xml:space="preserve"> people over the Plan period, and the projection of  </w:t>
      </w:r>
      <w:r w:rsidR="0008380D">
        <w:rPr>
          <w:sz w:val="18"/>
          <w:szCs w:val="18"/>
          <w:lang w:val="en-US"/>
        </w:rPr>
        <w:t>1,374</w:t>
      </w:r>
      <w:r>
        <w:rPr>
          <w:sz w:val="18"/>
          <w:szCs w:val="18"/>
          <w:lang w:val="en-US"/>
        </w:rPr>
        <w:t xml:space="preserve"> </w:t>
      </w:r>
      <w:r w:rsidRPr="00826421">
        <w:rPr>
          <w:sz w:val="18"/>
          <w:szCs w:val="18"/>
          <w:lang w:val="en-US"/>
        </w:rPr>
        <w:t>dwellings functioning as an upper, more aspirational target, to be provided if other constraints allow.</w:t>
      </w:r>
    </w:p>
    <w:p w14:paraId="51BCB664" w14:textId="77777777" w:rsidR="00CD491C" w:rsidRPr="00826421" w:rsidRDefault="00CD491C" w:rsidP="00CD491C">
      <w:pPr>
        <w:numPr>
          <w:ilvl w:val="0"/>
          <w:numId w:val="15"/>
        </w:numPr>
        <w:spacing w:before="0" w:after="120"/>
        <w:jc w:val="both"/>
        <w:rPr>
          <w:sz w:val="18"/>
          <w:szCs w:val="18"/>
          <w:lang w:val="en-US"/>
        </w:rPr>
      </w:pPr>
      <w:r w:rsidRPr="00826421">
        <w:rPr>
          <w:sz w:val="18"/>
          <w:szCs w:val="18"/>
          <w:lang w:val="en-US"/>
        </w:rPr>
        <w:t xml:space="preserve">While it is important to maximise the accessibility of all new housing, it is particularly important for specialist housing for </w:t>
      </w:r>
      <w:r>
        <w:rPr>
          <w:sz w:val="18"/>
          <w:szCs w:val="18"/>
          <w:lang w:val="en-US"/>
        </w:rPr>
        <w:t>older people</w:t>
      </w:r>
      <w:r w:rsidRPr="00826421">
        <w:rPr>
          <w:sz w:val="18"/>
          <w:szCs w:val="18"/>
          <w:lang w:val="en-US"/>
        </w:rPr>
        <w:t xml:space="preserve"> to be provided in sustainable, accessible locations, for a number of reasons, as follows:</w:t>
      </w:r>
    </w:p>
    <w:p w14:paraId="4FAE0AB8" w14:textId="77777777" w:rsidR="00CD491C" w:rsidRPr="008C5248" w:rsidRDefault="00CD491C" w:rsidP="00CD491C">
      <w:pPr>
        <w:pStyle w:val="ListParagraph"/>
        <w:numPr>
          <w:ilvl w:val="0"/>
          <w:numId w:val="22"/>
        </w:numPr>
        <w:spacing w:after="120"/>
        <w:rPr>
          <w:sz w:val="18"/>
          <w:szCs w:val="18"/>
        </w:rPr>
      </w:pPr>
      <w:r w:rsidRPr="008C5248">
        <w:rPr>
          <w:sz w:val="18"/>
          <w:szCs w:val="18"/>
        </w:rPr>
        <w:t>so that residents, who often lack cars of their own, are able to access local services and facilities, such as shops and doctor’s surgeries, on foot;</w:t>
      </w:r>
    </w:p>
    <w:p w14:paraId="62DE205D" w14:textId="77777777" w:rsidR="00CD491C" w:rsidRPr="008C5248" w:rsidRDefault="00CD491C" w:rsidP="00CD491C">
      <w:pPr>
        <w:pStyle w:val="ListParagraph"/>
        <w:numPr>
          <w:ilvl w:val="0"/>
          <w:numId w:val="22"/>
        </w:numPr>
        <w:spacing w:after="120"/>
        <w:rPr>
          <w:sz w:val="18"/>
          <w:szCs w:val="18"/>
        </w:rPr>
      </w:pPr>
      <w:r w:rsidRPr="008C5248">
        <w:rPr>
          <w:sz w:val="18"/>
          <w:szCs w:val="18"/>
        </w:rPr>
        <w:t>so that any staff working there have the choice to access their workplace by more sustainable transport modes; and</w:t>
      </w:r>
    </w:p>
    <w:p w14:paraId="7E8C82B9" w14:textId="77777777" w:rsidR="00CD491C" w:rsidRPr="008C5248" w:rsidRDefault="00CD491C" w:rsidP="00CD491C">
      <w:pPr>
        <w:pStyle w:val="ListParagraph"/>
        <w:numPr>
          <w:ilvl w:val="0"/>
          <w:numId w:val="22"/>
        </w:numPr>
        <w:spacing w:after="120"/>
        <w:rPr>
          <w:sz w:val="18"/>
          <w:szCs w:val="18"/>
        </w:rPr>
      </w:pPr>
      <w:r w:rsidRPr="008C5248">
        <w:rPr>
          <w:sz w:val="18"/>
          <w:szCs w:val="18"/>
        </w:rPr>
        <w:t>so that family members and other visitors have the choice to access relatives and friends living in specialist accommodation by more sustainable transport modes.</w:t>
      </w:r>
    </w:p>
    <w:p w14:paraId="6F7FE578" w14:textId="77777777" w:rsidR="00CD491C" w:rsidRPr="00826421" w:rsidRDefault="00CD491C" w:rsidP="00CD491C">
      <w:pPr>
        <w:numPr>
          <w:ilvl w:val="0"/>
          <w:numId w:val="15"/>
        </w:numPr>
        <w:spacing w:before="0" w:after="120"/>
        <w:jc w:val="both"/>
        <w:rPr>
          <w:sz w:val="18"/>
          <w:szCs w:val="18"/>
          <w:lang w:val="en-US"/>
        </w:rPr>
      </w:pPr>
      <w:r w:rsidRPr="00826421">
        <w:rPr>
          <w:sz w:val="18"/>
          <w:szCs w:val="18"/>
          <w:lang w:val="en-US"/>
        </w:rPr>
        <w:t>Alongside the need for specialist housing to be provided in accessible locations, another important requirement is for cost effectiveness and economies of scale. This can be achieved by serving the specialist elderly housing needs arising from a number of different locations and/or neighbourhood plan areas from a single, centralised point (i.e. what is sometimes referred to as a ‘hub-and-spoke’ model).</w:t>
      </w:r>
    </w:p>
    <w:p w14:paraId="18932CF3" w14:textId="77777777" w:rsidR="00CD491C" w:rsidRPr="00826421" w:rsidRDefault="00CD491C" w:rsidP="00CD491C">
      <w:pPr>
        <w:numPr>
          <w:ilvl w:val="0"/>
          <w:numId w:val="15"/>
        </w:numPr>
        <w:spacing w:before="0" w:after="120"/>
        <w:jc w:val="both"/>
        <w:rPr>
          <w:sz w:val="18"/>
          <w:szCs w:val="18"/>
          <w:lang w:val="en-US"/>
        </w:rPr>
      </w:pPr>
      <w:r w:rsidRPr="00826421">
        <w:rPr>
          <w:sz w:val="18"/>
          <w:szCs w:val="18"/>
          <w:lang w:val="en-US"/>
        </w:rPr>
        <w:t xml:space="preserve">It is considered that </w:t>
      </w:r>
      <w:r>
        <w:rPr>
          <w:sz w:val="18"/>
          <w:szCs w:val="18"/>
          <w:lang w:val="en-US"/>
        </w:rPr>
        <w:t>Weymouth</w:t>
      </w:r>
      <w:r w:rsidRPr="00826421">
        <w:rPr>
          <w:sz w:val="18"/>
          <w:szCs w:val="18"/>
          <w:lang w:val="en-US"/>
        </w:rPr>
        <w:t xml:space="preserve"> is, in broad terms, a suitable location for specialist accommodation on the basis of the accessibility criteria and the considerations of cost-effectiveness above. As such, there is potential for such accommodation to be provided within the </w:t>
      </w:r>
      <w:r w:rsidRPr="00826421">
        <w:rPr>
          <w:sz w:val="18"/>
          <w:szCs w:val="18"/>
        </w:rPr>
        <w:t>Neighbourhood</w:t>
      </w:r>
      <w:r w:rsidRPr="00826421">
        <w:rPr>
          <w:sz w:val="18"/>
          <w:szCs w:val="18"/>
          <w:lang w:val="en-US"/>
        </w:rPr>
        <w:t xml:space="preserve"> Plan area (while noting there is no specific requirement or obligation to do so if there is potential to meet need arising from </w:t>
      </w:r>
      <w:r>
        <w:rPr>
          <w:sz w:val="18"/>
          <w:szCs w:val="18"/>
          <w:lang w:val="en-US"/>
        </w:rPr>
        <w:t>Weymouth</w:t>
      </w:r>
      <w:r w:rsidRPr="00826421">
        <w:rPr>
          <w:sz w:val="18"/>
          <w:szCs w:val="18"/>
          <w:lang w:val="en-US"/>
        </w:rPr>
        <w:t xml:space="preserve"> in other suitable locations near to but outside the Plan area boundaries). Where it is considered for any reason desirable to meet some of the specialist need outside the </w:t>
      </w:r>
      <w:r w:rsidRPr="00826421">
        <w:rPr>
          <w:sz w:val="18"/>
          <w:szCs w:val="18"/>
        </w:rPr>
        <w:t>Neighbourhood</w:t>
      </w:r>
      <w:r w:rsidRPr="00826421">
        <w:rPr>
          <w:sz w:val="18"/>
          <w:szCs w:val="18"/>
          <w:lang w:val="en-US"/>
        </w:rPr>
        <w:t xml:space="preserve"> Plan area boundaries, there will be a degree of overlap between the number of specialist dwellings to be provided and the overall dwellings target for the </w:t>
      </w:r>
      <w:r w:rsidRPr="00826421">
        <w:rPr>
          <w:sz w:val="18"/>
          <w:szCs w:val="18"/>
        </w:rPr>
        <w:t>Neighbourhood</w:t>
      </w:r>
      <w:r w:rsidRPr="00826421">
        <w:rPr>
          <w:sz w:val="18"/>
          <w:szCs w:val="18"/>
          <w:lang w:val="en-US"/>
        </w:rPr>
        <w:t xml:space="preserve"> Plan area itself.</w:t>
      </w:r>
    </w:p>
    <w:p w14:paraId="61301F99" w14:textId="77777777" w:rsidR="00CD491C" w:rsidRPr="00826421" w:rsidRDefault="00CD491C" w:rsidP="00CD491C">
      <w:pPr>
        <w:numPr>
          <w:ilvl w:val="0"/>
          <w:numId w:val="15"/>
        </w:numPr>
        <w:spacing w:before="0" w:after="120"/>
        <w:jc w:val="both"/>
        <w:rPr>
          <w:color w:val="FF0000"/>
          <w:sz w:val="18"/>
          <w:szCs w:val="18"/>
          <w:lang w:val="en-US"/>
        </w:rPr>
      </w:pPr>
      <w:r w:rsidRPr="00826421">
        <w:rPr>
          <w:sz w:val="18"/>
          <w:szCs w:val="18"/>
          <w:lang w:val="en-US"/>
        </w:rPr>
        <w:t xml:space="preserve">Wherever specialist housing is to be accommodated, partnership working with specialist developers is recommended, so as to introduce a greater degree of choice into the housing options for </w:t>
      </w:r>
      <w:r>
        <w:rPr>
          <w:sz w:val="18"/>
          <w:szCs w:val="18"/>
          <w:lang w:val="en-US"/>
        </w:rPr>
        <w:t>older</w:t>
      </w:r>
      <w:r w:rsidRPr="00826421">
        <w:rPr>
          <w:sz w:val="18"/>
          <w:szCs w:val="18"/>
          <w:lang w:val="en-US"/>
        </w:rPr>
        <w:t xml:space="preserve"> people who </w:t>
      </w:r>
      <w:r>
        <w:rPr>
          <w:sz w:val="18"/>
          <w:szCs w:val="18"/>
          <w:lang w:val="en-US"/>
        </w:rPr>
        <w:t>wish to move in later life</w:t>
      </w:r>
      <w:r w:rsidRPr="00826421">
        <w:rPr>
          <w:sz w:val="18"/>
          <w:szCs w:val="18"/>
          <w:lang w:val="en-US"/>
        </w:rPr>
        <w:t xml:space="preserve">. </w:t>
      </w:r>
    </w:p>
    <w:p w14:paraId="59B1D813" w14:textId="77777777" w:rsidR="00CD491C" w:rsidRPr="004D4868" w:rsidRDefault="00CD491C" w:rsidP="00832DE0">
      <w:pPr>
        <w:pStyle w:val="ListNumber"/>
        <w:numPr>
          <w:ilvl w:val="0"/>
          <w:numId w:val="0"/>
        </w:numPr>
      </w:pPr>
    </w:p>
    <w:p w14:paraId="6C5C155B" w14:textId="77777777" w:rsidR="008A604F" w:rsidRDefault="008A604F" w:rsidP="00832DE0">
      <w:pPr>
        <w:pStyle w:val="ListNumber"/>
        <w:numPr>
          <w:ilvl w:val="0"/>
          <w:numId w:val="0"/>
        </w:numPr>
        <w:ind w:left="425"/>
      </w:pPr>
    </w:p>
    <w:p w14:paraId="68AB1D2E" w14:textId="5C55E640" w:rsidR="002C2D5C" w:rsidRPr="00747D45" w:rsidRDefault="002C2D5C" w:rsidP="002C2D5C">
      <w:pPr>
        <w:jc w:val="both"/>
        <w:rPr>
          <w:rFonts w:eastAsiaTheme="majorEastAsia" w:cstheme="majorBidi"/>
          <w:color w:val="00B5E2" w:themeColor="accent1"/>
          <w:sz w:val="18"/>
          <w:szCs w:val="18"/>
          <w:highlight w:val="lightGray"/>
          <w:lang w:val="en-US"/>
        </w:rPr>
      </w:pPr>
      <w:r w:rsidRPr="00747D45">
        <w:rPr>
          <w:sz w:val="18"/>
          <w:szCs w:val="18"/>
          <w:highlight w:val="lightGray"/>
          <w:lang w:val="en-US"/>
        </w:rPr>
        <w:br w:type="page"/>
      </w:r>
    </w:p>
    <w:p w14:paraId="078B59C3" w14:textId="77777777" w:rsidR="002C2D5C" w:rsidRPr="009925FE" w:rsidRDefault="002C2D5C" w:rsidP="002C2D5C">
      <w:pPr>
        <w:pStyle w:val="Heading1"/>
        <w:jc w:val="both"/>
        <w:rPr>
          <w:lang w:val="en-US"/>
        </w:rPr>
      </w:pPr>
      <w:bookmarkStart w:id="49" w:name="_Toc64026780"/>
      <w:r w:rsidRPr="00E80CC8">
        <w:rPr>
          <w:lang w:val="en-US"/>
        </w:rPr>
        <w:t>Context</w:t>
      </w:r>
      <w:bookmarkStart w:id="50" w:name="_Toc425332010"/>
      <w:bookmarkStart w:id="51" w:name="_Toc461696212"/>
      <w:bookmarkEnd w:id="49"/>
    </w:p>
    <w:p w14:paraId="07FF3E79" w14:textId="77777777" w:rsidR="002C2D5C" w:rsidRPr="005431FF" w:rsidRDefault="002C2D5C" w:rsidP="002C2D5C">
      <w:pPr>
        <w:pStyle w:val="Heading2"/>
        <w:jc w:val="both"/>
      </w:pPr>
      <w:bookmarkStart w:id="52" w:name="_Toc64026781"/>
      <w:r w:rsidRPr="005431FF">
        <w:t>Local context</w:t>
      </w:r>
      <w:bookmarkEnd w:id="52"/>
    </w:p>
    <w:p w14:paraId="4B6DE4A2" w14:textId="377FEFB9" w:rsidR="00AD3891" w:rsidRDefault="0015105E" w:rsidP="00A82210">
      <w:pPr>
        <w:pStyle w:val="ListNumber"/>
      </w:pPr>
      <w:bookmarkStart w:id="53" w:name="_Copy"/>
      <w:r w:rsidRPr="00AD3891">
        <w:t>Weymouth</w:t>
      </w:r>
      <w:r w:rsidR="00591064" w:rsidRPr="00AD3891">
        <w:t xml:space="preserve"> is</w:t>
      </w:r>
      <w:r w:rsidR="002C2D5C" w:rsidRPr="00AD3891">
        <w:t xml:space="preserve"> </w:t>
      </w:r>
      <w:r w:rsidR="00450792" w:rsidRPr="00AD3891">
        <w:t>a Neighbourhood P</w:t>
      </w:r>
      <w:r w:rsidR="00591064" w:rsidRPr="00AD3891">
        <w:t xml:space="preserve">lan area </w:t>
      </w:r>
      <w:r w:rsidR="002C2D5C" w:rsidRPr="00AD3891">
        <w:t>located</w:t>
      </w:r>
      <w:r w:rsidR="00AD3891">
        <w:t xml:space="preserve"> on the</w:t>
      </w:r>
      <w:r w:rsidR="002C2D5C" w:rsidRPr="00AD3891">
        <w:t xml:space="preserve"> </w:t>
      </w:r>
      <w:r w:rsidRPr="00AD3891">
        <w:t>Dorset</w:t>
      </w:r>
      <w:r w:rsidR="00AD3891">
        <w:t xml:space="preserve"> coast</w:t>
      </w:r>
      <w:r w:rsidR="002C2D5C" w:rsidRPr="00AD3891">
        <w:t xml:space="preserve">. </w:t>
      </w:r>
      <w:r w:rsidR="00AD3891" w:rsidRPr="00747D45">
        <w:t xml:space="preserve">The Neighbourhood Area (NA) boundary comprises </w:t>
      </w:r>
      <w:r w:rsidR="00AD3891">
        <w:t>Weymouth administrative boundary</w:t>
      </w:r>
      <w:r w:rsidR="001F5561">
        <w:rPr>
          <w:rStyle w:val="FootnoteReference"/>
        </w:rPr>
        <w:footnoteReference w:id="1"/>
      </w:r>
      <w:r w:rsidR="00AD3891">
        <w:t xml:space="preserve"> (although not the entire contiguous urban area)</w:t>
      </w:r>
      <w:r w:rsidR="00AD3891" w:rsidRPr="00747D45">
        <w:t xml:space="preserve"> and was designated in</w:t>
      </w:r>
      <w:r w:rsidR="00AD3891">
        <w:t xml:space="preserve"> May 2020.</w:t>
      </w:r>
    </w:p>
    <w:p w14:paraId="0BBBDD86" w14:textId="1E10F2B6" w:rsidR="00BC159D" w:rsidRDefault="00C124D2" w:rsidP="00BC159D">
      <w:pPr>
        <w:pStyle w:val="ListNumber"/>
      </w:pPr>
      <w:r>
        <w:t xml:space="preserve">The proposed Neighbourhood Plan period starts in </w:t>
      </w:r>
      <w:r w:rsidR="00AD3891">
        <w:t>2021</w:t>
      </w:r>
      <w:r>
        <w:t xml:space="preserve"> and extends to</w:t>
      </w:r>
      <w:r w:rsidR="00AD3891">
        <w:t xml:space="preserve"> 2038</w:t>
      </w:r>
      <w:r>
        <w:t xml:space="preserve">, therefore comprising a planning period of </w:t>
      </w:r>
      <w:r w:rsidR="00AD3891">
        <w:t>17</w:t>
      </w:r>
      <w:r>
        <w:t xml:space="preserve"> years.</w:t>
      </w:r>
      <w:r w:rsidR="00AD3891">
        <w:t xml:space="preserve"> This is the same as the plan period for the emerging Dorset Local Plan.</w:t>
      </w:r>
      <w:r w:rsidR="00BC159D">
        <w:t xml:space="preserve"> At the time of writing this HNA, the Neighbourhood Plan is in the early phase of development, with Weymouth Town Council, who are leading its production, having secured a first grant and looking to form a steering group over the coming month. This HNA is the first piece of evidence being commissioned. The </w:t>
      </w:r>
      <w:r w:rsidR="00663265">
        <w:t>T</w:t>
      </w:r>
      <w:r w:rsidR="00BC159D">
        <w:t xml:space="preserve">own </w:t>
      </w:r>
      <w:r w:rsidR="00663265">
        <w:t>Co</w:t>
      </w:r>
      <w:r w:rsidR="00BC159D">
        <w:t>uncil hopes to have a Neighbourhood Plan approved by 2023.</w:t>
      </w:r>
    </w:p>
    <w:p w14:paraId="436F1D65" w14:textId="5319D358" w:rsidR="00DC3361" w:rsidRPr="00DC3361" w:rsidRDefault="00AD3891" w:rsidP="00DC3361">
      <w:pPr>
        <w:pStyle w:val="ListNumber"/>
      </w:pPr>
      <w:r w:rsidRPr="00AD3891">
        <w:rPr>
          <w:rFonts w:eastAsiaTheme="minorHAnsi"/>
        </w:rPr>
        <w:t>Weymouth is a seaside resort</w:t>
      </w:r>
      <w:r w:rsidR="001F5561">
        <w:rPr>
          <w:rFonts w:eastAsiaTheme="minorHAnsi"/>
        </w:rPr>
        <w:t xml:space="preserve">, </w:t>
      </w:r>
      <w:r w:rsidRPr="00AD3891">
        <w:rPr>
          <w:rFonts w:eastAsiaTheme="minorHAnsi"/>
        </w:rPr>
        <w:t xml:space="preserve"> </w:t>
      </w:r>
      <w:r w:rsidR="00A82210">
        <w:rPr>
          <w:rFonts w:eastAsiaTheme="minorHAnsi"/>
        </w:rPr>
        <w:t>the third largest settlement in Dorset</w:t>
      </w:r>
      <w:r w:rsidR="001F5561">
        <w:rPr>
          <w:rFonts w:eastAsiaTheme="minorHAnsi"/>
        </w:rPr>
        <w:t xml:space="preserve"> and the largest town in the Dorset Unitary Council Area.</w:t>
      </w:r>
      <w:r w:rsidR="00A82210">
        <w:rPr>
          <w:rFonts w:eastAsiaTheme="minorHAnsi"/>
        </w:rPr>
        <w:t xml:space="preserve"> It is </w:t>
      </w:r>
      <w:r w:rsidRPr="00AD3891">
        <w:rPr>
          <w:rFonts w:eastAsiaTheme="minorHAnsi"/>
        </w:rPr>
        <w:t xml:space="preserve">dominated by lower-paid employment </w:t>
      </w:r>
      <w:r w:rsidR="00A82210">
        <w:rPr>
          <w:rFonts w:eastAsiaTheme="minorHAnsi"/>
        </w:rPr>
        <w:t>and</w:t>
      </w:r>
      <w:r w:rsidRPr="00AD3891">
        <w:rPr>
          <w:rFonts w:eastAsiaTheme="minorHAnsi"/>
        </w:rPr>
        <w:t xml:space="preserve"> has a significant amount of outward commuting to Dorchester and other areas for employment</w:t>
      </w:r>
      <w:r w:rsidR="00DD26B3">
        <w:rPr>
          <w:rFonts w:eastAsiaTheme="minorHAnsi"/>
        </w:rPr>
        <w:t xml:space="preserve"> purposes</w:t>
      </w:r>
      <w:r w:rsidRPr="00AD3891">
        <w:rPr>
          <w:rFonts w:eastAsiaTheme="minorHAnsi"/>
        </w:rPr>
        <w:t>.</w:t>
      </w:r>
      <w:r w:rsidR="00A82210">
        <w:rPr>
          <w:rFonts w:eastAsiaTheme="minorHAnsi"/>
        </w:rPr>
        <w:t xml:space="preserve"> </w:t>
      </w:r>
      <w:r w:rsidR="00541284">
        <w:rPr>
          <w:rFonts w:eastAsiaTheme="minorHAnsi"/>
        </w:rPr>
        <w:t>Unemployment and lower-paid work is a significant local issue. The 2019 Index of Multiple Deprivation (IMD)</w:t>
      </w:r>
      <w:r w:rsidR="00541284">
        <w:rPr>
          <w:rStyle w:val="FootnoteReference"/>
          <w:rFonts w:eastAsiaTheme="minorHAnsi"/>
        </w:rPr>
        <w:footnoteReference w:id="2"/>
      </w:r>
      <w:r w:rsidR="00541284">
        <w:rPr>
          <w:rFonts w:eastAsiaTheme="minorHAnsi"/>
        </w:rPr>
        <w:t xml:space="preserve"> shows </w:t>
      </w:r>
      <w:r w:rsidR="00DD26B3">
        <w:rPr>
          <w:rFonts w:eastAsiaTheme="minorHAnsi"/>
        </w:rPr>
        <w:t xml:space="preserve">that </w:t>
      </w:r>
      <w:r w:rsidR="00541284">
        <w:rPr>
          <w:rFonts w:eastAsiaTheme="minorHAnsi"/>
        </w:rPr>
        <w:t xml:space="preserve">the area in and around Weymouth is </w:t>
      </w:r>
      <w:r w:rsidR="00DD26B3">
        <w:rPr>
          <w:rFonts w:eastAsiaTheme="minorHAnsi"/>
        </w:rPr>
        <w:t xml:space="preserve">in </w:t>
      </w:r>
      <w:r w:rsidR="00541284">
        <w:rPr>
          <w:rFonts w:eastAsiaTheme="minorHAnsi"/>
        </w:rPr>
        <w:t xml:space="preserve">the 20% most deprived </w:t>
      </w:r>
      <w:r w:rsidR="00DC3361">
        <w:rPr>
          <w:rFonts w:eastAsiaTheme="minorHAnsi"/>
        </w:rPr>
        <w:t>Lower Super Output Areas (</w:t>
      </w:r>
      <w:r w:rsidR="00541284">
        <w:rPr>
          <w:rFonts w:eastAsiaTheme="minorHAnsi"/>
        </w:rPr>
        <w:t>LSOAs</w:t>
      </w:r>
      <w:r w:rsidR="00DC3361">
        <w:rPr>
          <w:rFonts w:eastAsiaTheme="minorHAnsi"/>
        </w:rPr>
        <w:t>)</w:t>
      </w:r>
      <w:r w:rsidR="00541284">
        <w:rPr>
          <w:rFonts w:eastAsiaTheme="minorHAnsi"/>
        </w:rPr>
        <w:t xml:space="preserve"> in the country and some of the most deprived in Dorset</w:t>
      </w:r>
      <w:r w:rsidR="00DC3361">
        <w:rPr>
          <w:rFonts w:eastAsiaTheme="minorHAnsi"/>
        </w:rPr>
        <w:t xml:space="preserve">, while other parts of Weymouth, particularly to the north, are more affluent and in the 20% least deprived category. </w:t>
      </w:r>
      <w:r w:rsidR="00DE4876">
        <w:rPr>
          <w:rFonts w:eastAsiaTheme="minorHAnsi"/>
        </w:rPr>
        <w:t xml:space="preserve">This makes for a very varied Neighbourhood Plan area with significant </w:t>
      </w:r>
      <w:r w:rsidR="00DD26B3">
        <w:rPr>
          <w:rFonts w:eastAsiaTheme="minorHAnsi"/>
        </w:rPr>
        <w:t>contrasts</w:t>
      </w:r>
      <w:r w:rsidR="00DE4876">
        <w:rPr>
          <w:rFonts w:eastAsiaTheme="minorHAnsi"/>
        </w:rPr>
        <w:t xml:space="preserve">. A number of </w:t>
      </w:r>
      <w:r w:rsidR="00DC3361">
        <w:rPr>
          <w:rFonts w:eastAsiaTheme="minorHAnsi"/>
        </w:rPr>
        <w:t>Weymouth LSOAs feature in the most deprived in Dorset for</w:t>
      </w:r>
      <w:r w:rsidR="00DE4876">
        <w:rPr>
          <w:rFonts w:eastAsiaTheme="minorHAnsi"/>
        </w:rPr>
        <w:t xml:space="preserve"> </w:t>
      </w:r>
      <w:r w:rsidR="00DC3361">
        <w:rPr>
          <w:rFonts w:eastAsiaTheme="minorHAnsi"/>
        </w:rPr>
        <w:t xml:space="preserve">all </w:t>
      </w:r>
      <w:r w:rsidR="00DE4876">
        <w:rPr>
          <w:rFonts w:eastAsiaTheme="minorHAnsi"/>
        </w:rPr>
        <w:t>domains (</w:t>
      </w:r>
      <w:r w:rsidR="00DC3361">
        <w:rPr>
          <w:rFonts w:eastAsiaTheme="minorHAnsi"/>
        </w:rPr>
        <w:t>categories</w:t>
      </w:r>
      <w:r w:rsidR="00DE4876">
        <w:rPr>
          <w:rFonts w:eastAsiaTheme="minorHAnsi"/>
        </w:rPr>
        <w:t>)</w:t>
      </w:r>
      <w:r w:rsidR="00DC3361">
        <w:rPr>
          <w:rFonts w:eastAsiaTheme="minorHAnsi"/>
        </w:rPr>
        <w:t xml:space="preserve">, including employment, health and disability, </w:t>
      </w:r>
      <w:r w:rsidR="00DE4876">
        <w:rPr>
          <w:rFonts w:eastAsiaTheme="minorHAnsi"/>
        </w:rPr>
        <w:t xml:space="preserve">barriers to housing and services, </w:t>
      </w:r>
      <w:r w:rsidR="00DC3361">
        <w:rPr>
          <w:rFonts w:eastAsiaTheme="minorHAnsi"/>
        </w:rPr>
        <w:t>education and skills, crime, environment, children, older people</w:t>
      </w:r>
      <w:r w:rsidR="00DE4876">
        <w:rPr>
          <w:rFonts w:eastAsiaTheme="minorHAnsi"/>
        </w:rPr>
        <w:t>. The housing deprivation domain relates to household overcrowding, threat of homelessness and difficulty in accessing owner-occupation due to income, as well as distance to services such as GP, shops, schools and post office.</w:t>
      </w:r>
    </w:p>
    <w:p w14:paraId="4AA8DEB5" w14:textId="537F2558" w:rsidR="00AD3891" w:rsidRPr="00747D45" w:rsidRDefault="00A82210" w:rsidP="00DC3361">
      <w:pPr>
        <w:pStyle w:val="ListNumber"/>
      </w:pPr>
      <w:r>
        <w:rPr>
          <w:rFonts w:eastAsiaTheme="minorHAnsi"/>
        </w:rPr>
        <w:t>The</w:t>
      </w:r>
      <w:r w:rsidR="00DE4876">
        <w:rPr>
          <w:rFonts w:eastAsiaTheme="minorHAnsi"/>
        </w:rPr>
        <w:t xml:space="preserve"> Weymouth</w:t>
      </w:r>
      <w:r>
        <w:rPr>
          <w:rFonts w:eastAsiaTheme="minorHAnsi"/>
        </w:rPr>
        <w:t xml:space="preserve"> local economy </w:t>
      </w:r>
      <w:r w:rsidR="00CE2895">
        <w:rPr>
          <w:rFonts w:eastAsiaTheme="minorHAnsi"/>
        </w:rPr>
        <w:t xml:space="preserve">largely </w:t>
      </w:r>
      <w:r>
        <w:rPr>
          <w:rFonts w:eastAsiaTheme="minorHAnsi"/>
        </w:rPr>
        <w:t>depends on tourism, the harbor and local visitor attractions.</w:t>
      </w:r>
      <w:r w:rsidR="00CE2895">
        <w:rPr>
          <w:rFonts w:eastAsiaTheme="minorHAnsi"/>
        </w:rPr>
        <w:t xml:space="preserve"> </w:t>
      </w:r>
      <w:r w:rsidR="00CE2895">
        <w:t>There are also a significant number of residents working in Defence and Aerospace, mostly employed at the Granby Industrial Estate in Chickerell but also on Portland and at Winfrith and Yeovil.  Additionally, there are a large number of people working in the building and housing industry, many of whom commute out of Weymouth to work.</w:t>
      </w:r>
      <w:r w:rsidR="00AD3891" w:rsidRPr="00AD3891">
        <w:rPr>
          <w:rFonts w:eastAsiaTheme="minorHAnsi"/>
        </w:rPr>
        <w:t xml:space="preserve"> The area is on the coast, and the floodplain of the River Wey runs through the town. The Dorset AONB lies to the north, and the Heritage Coast to the west.</w:t>
      </w:r>
      <w:r w:rsidR="00CE2895">
        <w:rPr>
          <w:rFonts w:eastAsiaTheme="minorHAnsi"/>
        </w:rPr>
        <w:t xml:space="preserve"> </w:t>
      </w:r>
      <w:r w:rsidR="00CE2895">
        <w:t>Parts of Weymouth lie within the East Devon and Dorset World Heritage Site (the Jurassic Coast) and parts of Weymouth are located within the Dorset AONB.</w:t>
      </w:r>
      <w:r>
        <w:rPr>
          <w:rFonts w:eastAsiaTheme="minorHAnsi"/>
        </w:rPr>
        <w:t xml:space="preserve"> The A354</w:t>
      </w:r>
      <w:r w:rsidR="00AD3891">
        <w:rPr>
          <w:rFonts w:eastAsiaTheme="minorHAnsi"/>
        </w:rPr>
        <w:t xml:space="preserve"> </w:t>
      </w:r>
      <w:r w:rsidR="006918AB">
        <w:rPr>
          <w:rFonts w:eastAsiaTheme="minorHAnsi"/>
        </w:rPr>
        <w:t>road bridge connects Weymouth to Portland. Major roads include the A354 to Dorchester and Portland, the A353 running east from Weymouth</w:t>
      </w:r>
      <w:r w:rsidR="00CE2895">
        <w:rPr>
          <w:rFonts w:eastAsiaTheme="minorHAnsi"/>
        </w:rPr>
        <w:t xml:space="preserve"> to Warmwell and the A352 to Poole</w:t>
      </w:r>
      <w:r w:rsidR="006918AB">
        <w:rPr>
          <w:rFonts w:eastAsiaTheme="minorHAnsi"/>
        </w:rPr>
        <w:t>, and the B3157 running west to Bridport. The Weymouth rail station connects the town to London’s Waterloo and Paddington stations, as well as Westbury, Bristol and other destinations. Local bus services link Weymouth to destinations including Portland, Dorchester and Poole; as well as including a route which links the towns and villages along the coastline</w:t>
      </w:r>
      <w:r w:rsidR="00CE2895">
        <w:rPr>
          <w:rFonts w:eastAsiaTheme="minorHAnsi"/>
        </w:rPr>
        <w:t xml:space="preserve"> as far as Exeter</w:t>
      </w:r>
      <w:r w:rsidR="006918AB">
        <w:rPr>
          <w:rFonts w:eastAsiaTheme="minorHAnsi"/>
        </w:rPr>
        <w:t>.</w:t>
      </w:r>
    </w:p>
    <w:p w14:paraId="1B296962" w14:textId="1ECE2228" w:rsidR="00CC364C" w:rsidRPr="00CC364C" w:rsidRDefault="002C2D5C" w:rsidP="00CC364C">
      <w:pPr>
        <w:pStyle w:val="ListNumber"/>
      </w:pPr>
      <w:r w:rsidRPr="00BD3E88">
        <w:t xml:space="preserve">For </w:t>
      </w:r>
      <w:r w:rsidR="00450792" w:rsidRPr="00BD3E88">
        <w:t>Census purposes, the Neighbourhood P</w:t>
      </w:r>
      <w:r w:rsidR="005F50BC" w:rsidRPr="00BD3E88">
        <w:t>lan area</w:t>
      </w:r>
      <w:r w:rsidRPr="00BD3E88">
        <w:t xml:space="preserve"> is made up, like the rest of England, of statistical units c</w:t>
      </w:r>
      <w:r w:rsidR="005F50BC" w:rsidRPr="00BD3E88">
        <w:t>alled Output Areas (OAs)</w:t>
      </w:r>
      <w:r w:rsidR="00CC364C">
        <w:t xml:space="preserve"> and Middle Layer Super Output Areas (MSOAs)</w:t>
      </w:r>
      <w:r w:rsidR="005F50BC" w:rsidRPr="00BD3E88">
        <w:t>. The Plan area</w:t>
      </w:r>
      <w:r w:rsidRPr="00BD3E88">
        <w:t xml:space="preserve"> equates to the following </w:t>
      </w:r>
      <w:r w:rsidR="00CC364C">
        <w:t>seven MS</w:t>
      </w:r>
      <w:r w:rsidRPr="00BD3E88">
        <w:t xml:space="preserve">OAs, which have been used throughout as a </w:t>
      </w:r>
      <w:r w:rsidR="00591064" w:rsidRPr="00BD3E88">
        <w:t>statistical proxy for the NA</w:t>
      </w:r>
      <w:r w:rsidR="0015269D">
        <w:t xml:space="preserve"> (Neighbourhood Area)</w:t>
      </w:r>
      <w:r w:rsidRPr="00BD3E88">
        <w:t xml:space="preserve"> boundary and which can be interrogated for data from both the 2001 and the 2011 Censuses:</w:t>
      </w:r>
    </w:p>
    <w:tbl>
      <w:tblPr>
        <w:tblW w:w="0" w:type="auto"/>
        <w:tblInd w:w="426" w:type="dxa"/>
        <w:tblCellMar>
          <w:left w:w="0" w:type="dxa"/>
          <w:right w:w="0" w:type="dxa"/>
        </w:tblCellMar>
        <w:tblLook w:val="04A0" w:firstRow="1" w:lastRow="0" w:firstColumn="1" w:lastColumn="0" w:noHBand="0" w:noVBand="1"/>
      </w:tblPr>
      <w:tblGrid>
        <w:gridCol w:w="3827"/>
        <w:gridCol w:w="1856"/>
      </w:tblGrid>
      <w:tr w:rsidR="00CC364C" w:rsidRPr="00CC364C" w14:paraId="7A7EC790" w14:textId="77777777" w:rsidTr="00CC364C">
        <w:trPr>
          <w:trHeight w:val="315"/>
        </w:trPr>
        <w:tc>
          <w:tcPr>
            <w:tcW w:w="3827" w:type="dxa"/>
            <w:noWrap/>
            <w:tcMar>
              <w:top w:w="0" w:type="dxa"/>
              <w:left w:w="108" w:type="dxa"/>
              <w:bottom w:w="0" w:type="dxa"/>
              <w:right w:w="108" w:type="dxa"/>
            </w:tcMar>
            <w:hideMark/>
          </w:tcPr>
          <w:p w14:paraId="05360662" w14:textId="170B764A" w:rsidR="00CC364C" w:rsidRPr="00CC364C" w:rsidRDefault="00CC364C" w:rsidP="00CC364C">
            <w:pPr>
              <w:pStyle w:val="ListBullet"/>
            </w:pPr>
            <w:r w:rsidRPr="00CC364C">
              <w:t>Weymouth and Portland 001</w:t>
            </w:r>
            <w:r>
              <w:t>:</w:t>
            </w:r>
          </w:p>
        </w:tc>
        <w:tc>
          <w:tcPr>
            <w:tcW w:w="1856" w:type="dxa"/>
            <w:noWrap/>
            <w:tcMar>
              <w:top w:w="0" w:type="dxa"/>
              <w:left w:w="108" w:type="dxa"/>
              <w:bottom w:w="0" w:type="dxa"/>
              <w:right w:w="108" w:type="dxa"/>
            </w:tcMar>
            <w:hideMark/>
          </w:tcPr>
          <w:p w14:paraId="049F9E0B" w14:textId="77777777" w:rsidR="00CC364C" w:rsidRPr="00CC364C" w:rsidRDefault="00CC364C">
            <w:pPr>
              <w:rPr>
                <w:sz w:val="18"/>
                <w:szCs w:val="18"/>
              </w:rPr>
            </w:pPr>
            <w:r w:rsidRPr="00CC364C">
              <w:rPr>
                <w:sz w:val="18"/>
                <w:szCs w:val="18"/>
              </w:rPr>
              <w:t>E02004281</w:t>
            </w:r>
          </w:p>
        </w:tc>
      </w:tr>
      <w:tr w:rsidR="00CC364C" w:rsidRPr="00CC364C" w14:paraId="4CE2DEFC" w14:textId="77777777" w:rsidTr="00CC364C">
        <w:trPr>
          <w:trHeight w:val="300"/>
        </w:trPr>
        <w:tc>
          <w:tcPr>
            <w:tcW w:w="3827" w:type="dxa"/>
            <w:noWrap/>
            <w:tcMar>
              <w:top w:w="0" w:type="dxa"/>
              <w:left w:w="108" w:type="dxa"/>
              <w:bottom w:w="0" w:type="dxa"/>
              <w:right w:w="108" w:type="dxa"/>
            </w:tcMar>
            <w:hideMark/>
          </w:tcPr>
          <w:p w14:paraId="54B0E438" w14:textId="52DF202F" w:rsidR="00CC364C" w:rsidRPr="00CC364C" w:rsidRDefault="00CC364C" w:rsidP="00CC364C">
            <w:pPr>
              <w:pStyle w:val="ListBullet"/>
            </w:pPr>
            <w:r w:rsidRPr="00CC364C">
              <w:t>Weymouth and Portland 002</w:t>
            </w:r>
            <w:r>
              <w:t>:</w:t>
            </w:r>
          </w:p>
        </w:tc>
        <w:tc>
          <w:tcPr>
            <w:tcW w:w="1856" w:type="dxa"/>
            <w:noWrap/>
            <w:tcMar>
              <w:top w:w="0" w:type="dxa"/>
              <w:left w:w="108" w:type="dxa"/>
              <w:bottom w:w="0" w:type="dxa"/>
              <w:right w:w="108" w:type="dxa"/>
            </w:tcMar>
            <w:hideMark/>
          </w:tcPr>
          <w:p w14:paraId="213016AE" w14:textId="77777777" w:rsidR="00CC364C" w:rsidRPr="00CC364C" w:rsidRDefault="00CC364C">
            <w:pPr>
              <w:rPr>
                <w:sz w:val="18"/>
                <w:szCs w:val="18"/>
              </w:rPr>
            </w:pPr>
            <w:r w:rsidRPr="00CC364C">
              <w:rPr>
                <w:sz w:val="18"/>
                <w:szCs w:val="18"/>
              </w:rPr>
              <w:t>E02004282</w:t>
            </w:r>
          </w:p>
        </w:tc>
      </w:tr>
      <w:tr w:rsidR="00CC364C" w:rsidRPr="00CC364C" w14:paraId="2720FCE8" w14:textId="77777777" w:rsidTr="00CC364C">
        <w:trPr>
          <w:trHeight w:val="300"/>
        </w:trPr>
        <w:tc>
          <w:tcPr>
            <w:tcW w:w="3827" w:type="dxa"/>
            <w:noWrap/>
            <w:tcMar>
              <w:top w:w="0" w:type="dxa"/>
              <w:left w:w="108" w:type="dxa"/>
              <w:bottom w:w="0" w:type="dxa"/>
              <w:right w:w="108" w:type="dxa"/>
            </w:tcMar>
            <w:hideMark/>
          </w:tcPr>
          <w:p w14:paraId="00F21AB0" w14:textId="43F929BD" w:rsidR="00CC364C" w:rsidRPr="00CC364C" w:rsidRDefault="00CC364C" w:rsidP="00CC364C">
            <w:pPr>
              <w:pStyle w:val="ListBullet"/>
            </w:pPr>
            <w:r w:rsidRPr="00CC364C">
              <w:t>Weymouth and Portland 003</w:t>
            </w:r>
            <w:r>
              <w:t>:</w:t>
            </w:r>
          </w:p>
        </w:tc>
        <w:tc>
          <w:tcPr>
            <w:tcW w:w="1856" w:type="dxa"/>
            <w:noWrap/>
            <w:tcMar>
              <w:top w:w="0" w:type="dxa"/>
              <w:left w:w="108" w:type="dxa"/>
              <w:bottom w:w="0" w:type="dxa"/>
              <w:right w:w="108" w:type="dxa"/>
            </w:tcMar>
            <w:hideMark/>
          </w:tcPr>
          <w:p w14:paraId="62F68A35" w14:textId="77777777" w:rsidR="00CC364C" w:rsidRPr="00CC364C" w:rsidRDefault="00CC364C">
            <w:pPr>
              <w:rPr>
                <w:sz w:val="18"/>
                <w:szCs w:val="18"/>
              </w:rPr>
            </w:pPr>
            <w:r w:rsidRPr="00CC364C">
              <w:rPr>
                <w:sz w:val="18"/>
                <w:szCs w:val="18"/>
              </w:rPr>
              <w:t>E02004283</w:t>
            </w:r>
          </w:p>
        </w:tc>
      </w:tr>
      <w:tr w:rsidR="00CC364C" w:rsidRPr="00CC364C" w14:paraId="2FC7F92D" w14:textId="77777777" w:rsidTr="00CC364C">
        <w:trPr>
          <w:trHeight w:val="300"/>
        </w:trPr>
        <w:tc>
          <w:tcPr>
            <w:tcW w:w="3827" w:type="dxa"/>
            <w:noWrap/>
            <w:tcMar>
              <w:top w:w="0" w:type="dxa"/>
              <w:left w:w="108" w:type="dxa"/>
              <w:bottom w:w="0" w:type="dxa"/>
              <w:right w:w="108" w:type="dxa"/>
            </w:tcMar>
            <w:hideMark/>
          </w:tcPr>
          <w:p w14:paraId="20627FDD" w14:textId="170760F9" w:rsidR="00CC364C" w:rsidRPr="00CC364C" w:rsidRDefault="00CC364C" w:rsidP="00CC364C">
            <w:pPr>
              <w:pStyle w:val="ListBullet"/>
            </w:pPr>
            <w:r w:rsidRPr="00CC364C">
              <w:t>Weymouth and Portland 004</w:t>
            </w:r>
            <w:r>
              <w:t>:</w:t>
            </w:r>
          </w:p>
        </w:tc>
        <w:tc>
          <w:tcPr>
            <w:tcW w:w="1856" w:type="dxa"/>
            <w:noWrap/>
            <w:tcMar>
              <w:top w:w="0" w:type="dxa"/>
              <w:left w:w="108" w:type="dxa"/>
              <w:bottom w:w="0" w:type="dxa"/>
              <w:right w:w="108" w:type="dxa"/>
            </w:tcMar>
            <w:hideMark/>
          </w:tcPr>
          <w:p w14:paraId="7DD0011F" w14:textId="77777777" w:rsidR="00CC364C" w:rsidRPr="00CC364C" w:rsidRDefault="00CC364C">
            <w:pPr>
              <w:rPr>
                <w:sz w:val="18"/>
                <w:szCs w:val="18"/>
              </w:rPr>
            </w:pPr>
            <w:r w:rsidRPr="00CC364C">
              <w:rPr>
                <w:sz w:val="18"/>
                <w:szCs w:val="18"/>
              </w:rPr>
              <w:t>E02004284</w:t>
            </w:r>
          </w:p>
        </w:tc>
      </w:tr>
      <w:tr w:rsidR="00CC364C" w:rsidRPr="00CC364C" w14:paraId="1B60314D" w14:textId="77777777" w:rsidTr="00CC364C">
        <w:trPr>
          <w:trHeight w:val="300"/>
        </w:trPr>
        <w:tc>
          <w:tcPr>
            <w:tcW w:w="3827" w:type="dxa"/>
            <w:noWrap/>
            <w:tcMar>
              <w:top w:w="0" w:type="dxa"/>
              <w:left w:w="108" w:type="dxa"/>
              <w:bottom w:w="0" w:type="dxa"/>
              <w:right w:w="108" w:type="dxa"/>
            </w:tcMar>
            <w:hideMark/>
          </w:tcPr>
          <w:p w14:paraId="4360ECBC" w14:textId="582DCAF9" w:rsidR="00CC364C" w:rsidRPr="00CC364C" w:rsidRDefault="00CC364C" w:rsidP="00CC364C">
            <w:pPr>
              <w:pStyle w:val="ListBullet"/>
            </w:pPr>
            <w:r w:rsidRPr="00CC364C">
              <w:t>Weymouth and Portland 005</w:t>
            </w:r>
            <w:r>
              <w:t>:</w:t>
            </w:r>
          </w:p>
        </w:tc>
        <w:tc>
          <w:tcPr>
            <w:tcW w:w="1856" w:type="dxa"/>
            <w:noWrap/>
            <w:tcMar>
              <w:top w:w="0" w:type="dxa"/>
              <w:left w:w="108" w:type="dxa"/>
              <w:bottom w:w="0" w:type="dxa"/>
              <w:right w:w="108" w:type="dxa"/>
            </w:tcMar>
            <w:hideMark/>
          </w:tcPr>
          <w:p w14:paraId="7866D0AB" w14:textId="77777777" w:rsidR="00CC364C" w:rsidRPr="00CC364C" w:rsidRDefault="00CC364C">
            <w:pPr>
              <w:rPr>
                <w:sz w:val="18"/>
                <w:szCs w:val="18"/>
              </w:rPr>
            </w:pPr>
            <w:r w:rsidRPr="00CC364C">
              <w:rPr>
                <w:sz w:val="18"/>
                <w:szCs w:val="18"/>
              </w:rPr>
              <w:t>E02004285</w:t>
            </w:r>
          </w:p>
        </w:tc>
      </w:tr>
      <w:tr w:rsidR="00CC364C" w:rsidRPr="00CC364C" w14:paraId="7F581741" w14:textId="77777777" w:rsidTr="00CC364C">
        <w:trPr>
          <w:trHeight w:val="300"/>
        </w:trPr>
        <w:tc>
          <w:tcPr>
            <w:tcW w:w="3827" w:type="dxa"/>
            <w:noWrap/>
            <w:tcMar>
              <w:top w:w="0" w:type="dxa"/>
              <w:left w:w="108" w:type="dxa"/>
              <w:bottom w:w="0" w:type="dxa"/>
              <w:right w:w="108" w:type="dxa"/>
            </w:tcMar>
            <w:hideMark/>
          </w:tcPr>
          <w:p w14:paraId="1E88259F" w14:textId="5A801EF3" w:rsidR="00CC364C" w:rsidRPr="00CC364C" w:rsidRDefault="00CC364C" w:rsidP="00CC364C">
            <w:pPr>
              <w:pStyle w:val="ListBullet"/>
            </w:pPr>
            <w:r w:rsidRPr="00CC364C">
              <w:t>Weymouth and Portland 006</w:t>
            </w:r>
            <w:r>
              <w:t>:</w:t>
            </w:r>
          </w:p>
        </w:tc>
        <w:tc>
          <w:tcPr>
            <w:tcW w:w="1856" w:type="dxa"/>
            <w:noWrap/>
            <w:tcMar>
              <w:top w:w="0" w:type="dxa"/>
              <w:left w:w="108" w:type="dxa"/>
              <w:bottom w:w="0" w:type="dxa"/>
              <w:right w:w="108" w:type="dxa"/>
            </w:tcMar>
            <w:hideMark/>
          </w:tcPr>
          <w:p w14:paraId="681817DB" w14:textId="77777777" w:rsidR="00CC364C" w:rsidRPr="00CC364C" w:rsidRDefault="00CC364C">
            <w:pPr>
              <w:rPr>
                <w:sz w:val="18"/>
                <w:szCs w:val="18"/>
              </w:rPr>
            </w:pPr>
            <w:r w:rsidRPr="00CC364C">
              <w:rPr>
                <w:sz w:val="18"/>
                <w:szCs w:val="18"/>
              </w:rPr>
              <w:t>E02004286</w:t>
            </w:r>
          </w:p>
        </w:tc>
      </w:tr>
      <w:tr w:rsidR="00CC364C" w:rsidRPr="00CC364C" w14:paraId="532B25D5" w14:textId="77777777" w:rsidTr="00CC364C">
        <w:trPr>
          <w:trHeight w:val="300"/>
        </w:trPr>
        <w:tc>
          <w:tcPr>
            <w:tcW w:w="3827" w:type="dxa"/>
            <w:noWrap/>
            <w:tcMar>
              <w:top w:w="0" w:type="dxa"/>
              <w:left w:w="108" w:type="dxa"/>
              <w:bottom w:w="0" w:type="dxa"/>
              <w:right w:w="108" w:type="dxa"/>
            </w:tcMar>
            <w:hideMark/>
          </w:tcPr>
          <w:p w14:paraId="7EA7F26E" w14:textId="4614214E" w:rsidR="00CC364C" w:rsidRPr="00CC364C" w:rsidRDefault="00CC364C" w:rsidP="00CC364C">
            <w:pPr>
              <w:pStyle w:val="ListBullet"/>
              <w:tabs>
                <w:tab w:val="clear" w:pos="1145"/>
                <w:tab w:val="num" w:pos="740"/>
              </w:tabs>
            </w:pPr>
            <w:r w:rsidRPr="00CC364C">
              <w:t>Weymouth and Portland 007</w:t>
            </w:r>
            <w:r>
              <w:t>:</w:t>
            </w:r>
          </w:p>
        </w:tc>
        <w:tc>
          <w:tcPr>
            <w:tcW w:w="1856" w:type="dxa"/>
            <w:noWrap/>
            <w:tcMar>
              <w:top w:w="0" w:type="dxa"/>
              <w:left w:w="108" w:type="dxa"/>
              <w:bottom w:w="0" w:type="dxa"/>
              <w:right w:w="108" w:type="dxa"/>
            </w:tcMar>
            <w:hideMark/>
          </w:tcPr>
          <w:p w14:paraId="0C0C692A" w14:textId="77777777" w:rsidR="00CC364C" w:rsidRPr="00CC364C" w:rsidRDefault="00CC364C">
            <w:pPr>
              <w:rPr>
                <w:sz w:val="18"/>
                <w:szCs w:val="18"/>
              </w:rPr>
            </w:pPr>
            <w:r w:rsidRPr="00CC364C">
              <w:rPr>
                <w:sz w:val="18"/>
                <w:szCs w:val="18"/>
              </w:rPr>
              <w:t>E02004287</w:t>
            </w:r>
          </w:p>
        </w:tc>
      </w:tr>
    </w:tbl>
    <w:p w14:paraId="40F6D52F" w14:textId="6A4C031D" w:rsidR="00FB6C35" w:rsidRDefault="00FB6C35" w:rsidP="00A82210">
      <w:pPr>
        <w:pStyle w:val="ListNumber"/>
      </w:pPr>
      <w:r>
        <w:t xml:space="preserve">Please note that regarding data for Dorset as a whole, where data is available on a county basis, this includes the area of Christchurch. However, Dorset in its current </w:t>
      </w:r>
      <w:r w:rsidR="00CE2895">
        <w:t xml:space="preserve">unitary </w:t>
      </w:r>
      <w:r>
        <w:t>local authority boundary excludes</w:t>
      </w:r>
      <w:r w:rsidR="00CE2895">
        <w:t xml:space="preserve"> Bournmouth,</w:t>
      </w:r>
      <w:r>
        <w:t xml:space="preserve"> Christchurch</w:t>
      </w:r>
      <w:r w:rsidR="00CE2895">
        <w:t xml:space="preserve"> and Poole</w:t>
      </w:r>
      <w:r>
        <w:t xml:space="preserve">. While this does not make a significant difference overall, we have endeavoured to use the data for the correct up to date local authority area wherever possible. </w:t>
      </w:r>
      <w:r w:rsidRPr="00832DE0">
        <w:t xml:space="preserve">In some cases, where no alternative was available, the data for the full county has been used. This is indicated in footnotes </w:t>
      </w:r>
      <w:r w:rsidR="00A23F1C" w:rsidRPr="00832DE0">
        <w:t>and</w:t>
      </w:r>
      <w:r w:rsidRPr="00832DE0">
        <w:t xml:space="preserve"> the text where relevant.</w:t>
      </w:r>
      <w:r>
        <w:t xml:space="preserve"> </w:t>
      </w:r>
    </w:p>
    <w:p w14:paraId="12452B96" w14:textId="4AC6A00C" w:rsidR="002C2D5C" w:rsidRPr="00747D45" w:rsidRDefault="002C2D5C" w:rsidP="00A82210">
      <w:pPr>
        <w:pStyle w:val="ListNumber"/>
      </w:pPr>
      <w:r w:rsidRPr="00747D45">
        <w:t xml:space="preserve">The statistics show that in the 2011 Census </w:t>
      </w:r>
      <w:r w:rsidR="005F50BC">
        <w:t xml:space="preserve">the </w:t>
      </w:r>
      <w:r w:rsidR="00450792">
        <w:t xml:space="preserve">Neighbourhood </w:t>
      </w:r>
      <w:r w:rsidR="005F50BC">
        <w:t>Plan area</w:t>
      </w:r>
      <w:r w:rsidRPr="00747D45">
        <w:t xml:space="preserve"> had a total of </w:t>
      </w:r>
      <w:r w:rsidR="001A600F">
        <w:t>52,323</w:t>
      </w:r>
      <w:r w:rsidRPr="00747D45">
        <w:t xml:space="preserve"> residents</w:t>
      </w:r>
      <w:bookmarkEnd w:id="53"/>
      <w:r w:rsidRPr="00747D45">
        <w:t>.</w:t>
      </w:r>
    </w:p>
    <w:p w14:paraId="02A5D98F" w14:textId="6B798AE1" w:rsidR="002C2D5C" w:rsidRPr="00747D45" w:rsidRDefault="002C2D5C" w:rsidP="00A82210">
      <w:pPr>
        <w:pStyle w:val="ListNumber"/>
      </w:pPr>
      <w:r w:rsidRPr="00747D45">
        <w:t xml:space="preserve">A map of </w:t>
      </w:r>
      <w:r w:rsidR="005F50BC">
        <w:t>the Plan area</w:t>
      </w:r>
      <w:r w:rsidRPr="00747D45">
        <w:t xml:space="preserve"> appears below in Figure 2.1.</w:t>
      </w:r>
    </w:p>
    <w:p w14:paraId="2F98020A" w14:textId="7BF1AC06" w:rsidR="002C2D5C" w:rsidRDefault="00603781" w:rsidP="00603781">
      <w:pPr>
        <w:pStyle w:val="Caption"/>
        <w:rPr>
          <w:rFonts w:eastAsiaTheme="minorHAnsi" w:cstheme="minorBidi"/>
          <w:kern w:val="18"/>
          <w:sz w:val="18"/>
          <w:szCs w:val="18"/>
          <w:lang w:eastAsia="en-US"/>
        </w:rPr>
      </w:pPr>
      <w:r>
        <w:t xml:space="preserve">Figure </w:t>
      </w:r>
      <w:r w:rsidR="00D72010">
        <w:fldChar w:fldCharType="begin"/>
      </w:r>
      <w:r w:rsidR="00D72010">
        <w:instrText xml:space="preserve"> STYLEREF 1 \s </w:instrText>
      </w:r>
      <w:r w:rsidR="00D72010">
        <w:fldChar w:fldCharType="separate"/>
      </w:r>
      <w:r>
        <w:rPr>
          <w:noProof/>
        </w:rPr>
        <w:t>2</w:t>
      </w:r>
      <w:r w:rsidR="00D72010">
        <w:rPr>
          <w:noProof/>
        </w:rPr>
        <w:fldChar w:fldCharType="end"/>
      </w:r>
      <w:r>
        <w:noBreakHyphen/>
      </w:r>
      <w:r w:rsidR="00D72010">
        <w:fldChar w:fldCharType="begin"/>
      </w:r>
      <w:r w:rsidR="00D72010">
        <w:instrText xml:space="preserve"> SEQ Figure \* ARABIC \s 1 </w:instrText>
      </w:r>
      <w:r w:rsidR="00D72010">
        <w:fldChar w:fldCharType="separate"/>
      </w:r>
      <w:r>
        <w:rPr>
          <w:noProof/>
        </w:rPr>
        <w:t>1</w:t>
      </w:r>
      <w:r w:rsidR="00D72010">
        <w:rPr>
          <w:noProof/>
        </w:rPr>
        <w:fldChar w:fldCharType="end"/>
      </w:r>
      <w:r w:rsidR="002C2D5C" w:rsidRPr="0097507B">
        <w:rPr>
          <w:rFonts w:eastAsiaTheme="minorHAnsi" w:cstheme="minorBidi"/>
          <w:kern w:val="18"/>
          <w:sz w:val="18"/>
          <w:szCs w:val="18"/>
          <w:lang w:eastAsia="en-US"/>
        </w:rPr>
        <w:t xml:space="preserve">: Map of the </w:t>
      </w:r>
      <w:r w:rsidR="0015105E">
        <w:rPr>
          <w:rFonts w:eastAsiaTheme="minorHAnsi" w:cstheme="minorBidi"/>
          <w:kern w:val="18"/>
          <w:sz w:val="18"/>
          <w:szCs w:val="18"/>
          <w:lang w:eastAsia="en-US"/>
        </w:rPr>
        <w:t>Weymouth</w:t>
      </w:r>
      <w:r w:rsidR="00C71DC6">
        <w:rPr>
          <w:rFonts w:eastAsiaTheme="minorHAnsi" w:cstheme="minorBidi"/>
          <w:kern w:val="18"/>
          <w:sz w:val="18"/>
          <w:szCs w:val="18"/>
          <w:lang w:eastAsia="en-US"/>
        </w:rPr>
        <w:t xml:space="preserve"> </w:t>
      </w:r>
      <w:r w:rsidR="00E160BD">
        <w:rPr>
          <w:rFonts w:eastAsiaTheme="minorHAnsi" w:cstheme="minorBidi"/>
          <w:kern w:val="18"/>
          <w:sz w:val="18"/>
          <w:szCs w:val="18"/>
          <w:lang w:eastAsia="en-US"/>
        </w:rPr>
        <w:t>Neighbourhood Plan a</w:t>
      </w:r>
      <w:r w:rsidR="00C71DC6">
        <w:rPr>
          <w:rFonts w:eastAsiaTheme="minorHAnsi" w:cstheme="minorBidi"/>
          <w:kern w:val="18"/>
          <w:sz w:val="18"/>
          <w:szCs w:val="18"/>
          <w:lang w:eastAsia="en-US"/>
        </w:rPr>
        <w:t>rea</w:t>
      </w:r>
      <w:r w:rsidR="00C71DC6">
        <w:rPr>
          <w:rStyle w:val="FootnoteReference"/>
          <w:rFonts w:eastAsiaTheme="minorHAnsi" w:cstheme="minorBidi"/>
          <w:kern w:val="18"/>
          <w:sz w:val="18"/>
          <w:szCs w:val="18"/>
          <w:lang w:eastAsia="en-US"/>
        </w:rPr>
        <w:footnoteReference w:id="3"/>
      </w:r>
    </w:p>
    <w:p w14:paraId="4C489F16" w14:textId="77777777" w:rsidR="00A44DFF" w:rsidRDefault="00A44DFF" w:rsidP="00A44DFF">
      <w:pPr>
        <w:pStyle w:val="BodyText"/>
        <w:ind w:left="426"/>
        <w:rPr>
          <w:rFonts w:eastAsiaTheme="minorHAnsi"/>
          <w:i/>
          <w:sz w:val="18"/>
          <w:szCs w:val="18"/>
          <w:lang w:eastAsia="en-US"/>
        </w:rPr>
      </w:pPr>
      <w:r w:rsidRPr="00A44DFF">
        <w:rPr>
          <w:rFonts w:eastAsiaTheme="minorHAnsi"/>
          <w:noProof/>
          <w:sz w:val="18"/>
          <w:szCs w:val="18"/>
          <w:lang w:eastAsia="en-US"/>
        </w:rPr>
        <w:drawing>
          <wp:inline distT="0" distB="0" distL="0" distR="0" wp14:anchorId="6E43CE71" wp14:editId="43BAC243">
            <wp:extent cx="4366800" cy="649440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800" cy="6494400"/>
                    </a:xfrm>
                    <a:prstGeom prst="rect">
                      <a:avLst/>
                    </a:prstGeom>
                    <a:noFill/>
                    <a:ln>
                      <a:noFill/>
                    </a:ln>
                  </pic:spPr>
                </pic:pic>
              </a:graphicData>
            </a:graphic>
          </wp:inline>
        </w:drawing>
      </w:r>
    </w:p>
    <w:p w14:paraId="1ADC1FF1" w14:textId="73F1ACDA" w:rsidR="004B77D6" w:rsidRPr="004B77D6" w:rsidRDefault="004B77D6" w:rsidP="00A44DFF">
      <w:pPr>
        <w:pStyle w:val="BodyText"/>
        <w:ind w:left="426"/>
        <w:rPr>
          <w:rFonts w:eastAsiaTheme="minorHAnsi"/>
          <w:i/>
          <w:sz w:val="18"/>
          <w:szCs w:val="18"/>
          <w:lang w:eastAsia="en-US"/>
        </w:rPr>
      </w:pPr>
      <w:r w:rsidRPr="004B77D6">
        <w:rPr>
          <w:rFonts w:eastAsiaTheme="minorHAnsi"/>
          <w:i/>
          <w:sz w:val="18"/>
          <w:szCs w:val="18"/>
          <w:lang w:eastAsia="en-US"/>
        </w:rPr>
        <w:t xml:space="preserve">Source: </w:t>
      </w:r>
      <w:r w:rsidR="00A44DFF">
        <w:rPr>
          <w:rFonts w:eastAsiaTheme="minorHAnsi"/>
          <w:i/>
          <w:sz w:val="18"/>
          <w:szCs w:val="18"/>
          <w:lang w:eastAsia="en-US"/>
        </w:rPr>
        <w:t>Dorset Council</w:t>
      </w:r>
    </w:p>
    <w:p w14:paraId="75931139" w14:textId="680B0EE7" w:rsidR="002C2D5C" w:rsidRDefault="003727A8" w:rsidP="00905B82">
      <w:pPr>
        <w:pStyle w:val="ListNumber"/>
      </w:pPr>
      <w:bookmarkStart w:id="54" w:name="_Hlk19634230"/>
      <w:r w:rsidRPr="002F1DF2">
        <w:t xml:space="preserve">The neighbourhood planners are interested in exploring the need for Affordable Housing for sale </w:t>
      </w:r>
      <w:r w:rsidR="00AD16CC" w:rsidRPr="002F1DF2">
        <w:t xml:space="preserve">(also known as affordable home ownership) </w:t>
      </w:r>
      <w:r w:rsidRPr="002F1DF2">
        <w:t xml:space="preserve">and are therefore eligible for support under </w:t>
      </w:r>
      <w:r w:rsidR="00914584" w:rsidRPr="002F1DF2">
        <w:t xml:space="preserve">the </w:t>
      </w:r>
      <w:r w:rsidR="00444877" w:rsidRPr="002F1DF2">
        <w:t>A</w:t>
      </w:r>
      <w:r w:rsidR="00914584" w:rsidRPr="002F1DF2">
        <w:t xml:space="preserve">ffordable </w:t>
      </w:r>
      <w:r w:rsidR="00444877" w:rsidRPr="002F1DF2">
        <w:t>H</w:t>
      </w:r>
      <w:r w:rsidR="00914584" w:rsidRPr="002F1DF2">
        <w:t>ousing for sale</w:t>
      </w:r>
      <w:r w:rsidRPr="002F1DF2">
        <w:t xml:space="preserve"> element of the </w:t>
      </w:r>
      <w:r w:rsidR="007F5B16" w:rsidRPr="002F1DF2">
        <w:t xml:space="preserve">Neighbourhood Planning Technical Support </w:t>
      </w:r>
      <w:r w:rsidRPr="002F1DF2">
        <w:t xml:space="preserve">programme. </w:t>
      </w:r>
      <w:r w:rsidR="003D6072" w:rsidRPr="002F1DF2">
        <w:t xml:space="preserve">Analysis and commentary on this issue has been provided where relevant and possible </w:t>
      </w:r>
      <w:r w:rsidRPr="002F1DF2">
        <w:t>in the HNA.</w:t>
      </w:r>
      <w:bookmarkEnd w:id="54"/>
    </w:p>
    <w:p w14:paraId="2608B583" w14:textId="77777777" w:rsidR="002C2D5C" w:rsidRPr="00557859" w:rsidRDefault="002C2D5C" w:rsidP="002C2D5C">
      <w:pPr>
        <w:pStyle w:val="Heading2"/>
        <w:jc w:val="both"/>
      </w:pPr>
      <w:bookmarkStart w:id="55" w:name="_Toc64026782"/>
      <w:r w:rsidRPr="00557859">
        <w:t>Planning policy context</w:t>
      </w:r>
      <w:bookmarkEnd w:id="55"/>
    </w:p>
    <w:p w14:paraId="37283B88" w14:textId="73D1B62B" w:rsidR="002C2D5C" w:rsidRPr="00747D45" w:rsidRDefault="00F91738" w:rsidP="00A82210">
      <w:pPr>
        <w:pStyle w:val="ListNumber"/>
        <w:rPr>
          <w:rFonts w:eastAsiaTheme="minorHAnsi"/>
          <w:lang w:eastAsia="en-US"/>
        </w:rPr>
      </w:pPr>
      <w:r>
        <w:rPr>
          <w:rFonts w:eastAsiaTheme="minorHAnsi"/>
          <w:lang w:eastAsia="en-US"/>
        </w:rPr>
        <w:t>In line with the Basic C</w:t>
      </w:r>
      <w:r w:rsidR="002C2D5C" w:rsidRPr="00747D45">
        <w:rPr>
          <w:rFonts w:eastAsiaTheme="minorHAnsi"/>
          <w:lang w:eastAsia="en-US"/>
        </w:rPr>
        <w:t>onditions</w:t>
      </w:r>
      <w:r>
        <w:rPr>
          <w:rStyle w:val="FootnoteReference"/>
          <w:rFonts w:eastAsiaTheme="minorHAnsi"/>
          <w:lang w:eastAsia="en-US"/>
        </w:rPr>
        <w:footnoteReference w:id="4"/>
      </w:r>
      <w:r w:rsidR="002C2D5C" w:rsidRPr="00747D45">
        <w:rPr>
          <w:rFonts w:eastAsiaTheme="minorHAnsi"/>
          <w:lang w:eastAsia="en-US"/>
        </w:rPr>
        <w:t xml:space="preserve"> of neighbourhood planning, Neighbourhood Development Plans (NDPs) are required to be in general conformity with adopted strategic local policies.</w:t>
      </w:r>
      <w:r w:rsidR="00CD1EBD">
        <w:rPr>
          <w:rStyle w:val="FootnoteReference"/>
          <w:rFonts w:eastAsiaTheme="minorHAnsi"/>
          <w:lang w:eastAsia="en-US"/>
        </w:rPr>
        <w:footnoteReference w:id="5"/>
      </w:r>
      <w:r w:rsidR="002C2D5C" w:rsidRPr="00747D45">
        <w:rPr>
          <w:rFonts w:eastAsiaTheme="minorHAnsi"/>
          <w:lang w:eastAsia="en-US"/>
        </w:rPr>
        <w:t xml:space="preserve"> Consequently, the relevant elements of the Local Plan </w:t>
      </w:r>
      <w:r w:rsidR="00A30438">
        <w:rPr>
          <w:rFonts w:eastAsiaTheme="minorHAnsi"/>
          <w:lang w:eastAsia="en-US"/>
        </w:rPr>
        <w:t>are</w:t>
      </w:r>
      <w:r w:rsidR="002C2D5C" w:rsidRPr="00747D45">
        <w:rPr>
          <w:rFonts w:eastAsiaTheme="minorHAnsi"/>
          <w:lang w:eastAsia="en-US"/>
        </w:rPr>
        <w:t xml:space="preserve"> reviewed as part of this Housing Needs Assessment (HNA).</w:t>
      </w:r>
    </w:p>
    <w:p w14:paraId="1D809B30" w14:textId="2905BF74" w:rsidR="002C2D5C" w:rsidRPr="00747D45" w:rsidRDefault="002C2D5C" w:rsidP="00A82210">
      <w:pPr>
        <w:pStyle w:val="ListNumber"/>
        <w:rPr>
          <w:rFonts w:eastAsiaTheme="minorHAnsi"/>
          <w:lang w:eastAsia="en-US"/>
        </w:rPr>
      </w:pPr>
      <w:r w:rsidRPr="00747D45">
        <w:rPr>
          <w:rFonts w:eastAsiaTheme="minorHAnsi"/>
          <w:lang w:eastAsia="en-US"/>
        </w:rPr>
        <w:t xml:space="preserve">In the case of </w:t>
      </w:r>
      <w:r w:rsidR="0015105E">
        <w:rPr>
          <w:rFonts w:eastAsiaTheme="minorHAnsi"/>
          <w:lang w:eastAsia="en-US"/>
        </w:rPr>
        <w:t>Weymouth</w:t>
      </w:r>
      <w:r w:rsidRPr="00747D45">
        <w:rPr>
          <w:rFonts w:eastAsiaTheme="minorHAnsi"/>
          <w:lang w:eastAsia="en-US"/>
        </w:rPr>
        <w:t>, the relevant local planning context is as follows:</w:t>
      </w:r>
    </w:p>
    <w:p w14:paraId="69CE3E8D" w14:textId="36EC2B3B" w:rsidR="002C2D5C" w:rsidRPr="001A7F45" w:rsidRDefault="0015105E" w:rsidP="00A82210">
      <w:pPr>
        <w:pStyle w:val="ListNumber"/>
        <w:rPr>
          <w:color w:val="auto"/>
        </w:rPr>
      </w:pPr>
      <w:r w:rsidRPr="003A015F">
        <w:t xml:space="preserve">The </w:t>
      </w:r>
      <w:r w:rsidRPr="008E19B0">
        <w:rPr>
          <w:b/>
          <w:bCs/>
        </w:rPr>
        <w:t>adopted West Dorset, Weymouth and Portland Local Plan</w:t>
      </w:r>
      <w:r w:rsidRPr="003A015F">
        <w:t xml:space="preserve"> (</w:t>
      </w:r>
      <w:r w:rsidR="00D12DD6">
        <w:t>2011-2031</w:t>
      </w:r>
      <w:r w:rsidRPr="003A015F">
        <w:t>)</w:t>
      </w:r>
      <w:r w:rsidR="00C71DC6" w:rsidRPr="00D12DD6">
        <w:rPr>
          <w:rStyle w:val="FootnoteReference"/>
          <w:rFonts w:ascii="Arial" w:hAnsi="Arial"/>
          <w:color w:val="000000"/>
        </w:rPr>
        <w:footnoteReference w:id="6"/>
      </w:r>
      <w:r w:rsidR="003A015F" w:rsidRPr="003A015F">
        <w:t xml:space="preserve"> is one of five Local Plans currently adopted in Dorset, alongside Purbeck, North Dorset, East Dorset and Swanage Local Plans. Adopted in 2015,</w:t>
      </w:r>
      <w:r w:rsidR="003A015F" w:rsidRPr="001A7F45">
        <w:rPr>
          <w:color w:val="auto"/>
        </w:rPr>
        <w:t xml:space="preserve"> i</w:t>
      </w:r>
      <w:r w:rsidR="003A015F" w:rsidRPr="001A7F45">
        <w:rPr>
          <w:rFonts w:eastAsiaTheme="minorHAnsi"/>
          <w:color w:val="auto"/>
        </w:rPr>
        <w:t xml:space="preserve">t </w:t>
      </w:r>
      <w:r w:rsidR="001A7F45" w:rsidRPr="001A7F45">
        <w:rPr>
          <w:color w:val="auto"/>
        </w:rPr>
        <w:t>is a joint local plan that forms the main basis for making decisions on planning applications and development in the area until 2031.</w:t>
      </w:r>
    </w:p>
    <w:p w14:paraId="28429751" w14:textId="7E9E1EFE" w:rsidR="002C2D5C" w:rsidRPr="003A015F" w:rsidRDefault="00DF1F75" w:rsidP="00A82210">
      <w:pPr>
        <w:pStyle w:val="ListNumber"/>
      </w:pPr>
      <w:r w:rsidRPr="003A015F">
        <w:t xml:space="preserve">The </w:t>
      </w:r>
      <w:r w:rsidRPr="008E19B0">
        <w:rPr>
          <w:b/>
          <w:bCs/>
        </w:rPr>
        <w:t>emerging Dorset Council Local Plan</w:t>
      </w:r>
      <w:r w:rsidR="00C71DC6" w:rsidRPr="003A015F">
        <w:rPr>
          <w:rStyle w:val="FootnoteReference"/>
        </w:rPr>
        <w:footnoteReference w:id="7"/>
      </w:r>
      <w:r w:rsidR="00CC364C">
        <w:t>, which was</w:t>
      </w:r>
      <w:r w:rsidR="003A015F" w:rsidRPr="003A015F">
        <w:t xml:space="preserve"> published for Regulation 18 Consultation</w:t>
      </w:r>
      <w:r w:rsidR="00DD26B3">
        <w:t xml:space="preserve"> on the</w:t>
      </w:r>
      <w:r w:rsidR="003A015F" w:rsidRPr="003A015F">
        <w:t xml:space="preserve"> 18 January 2021</w:t>
      </w:r>
      <w:r w:rsidR="008E19B0">
        <w:t>, as</w:t>
      </w:r>
      <w:r w:rsidR="003A015F" w:rsidRPr="003A015F">
        <w:t xml:space="preserve"> a </w:t>
      </w:r>
      <w:r w:rsidR="008E19B0">
        <w:t xml:space="preserve">new </w:t>
      </w:r>
      <w:r w:rsidR="003A015F" w:rsidRPr="003A015F">
        <w:t xml:space="preserve">local plan for the whole </w:t>
      </w:r>
      <w:r w:rsidR="00DD26B3">
        <w:t>of Dorset</w:t>
      </w:r>
      <w:r w:rsidR="003A015F" w:rsidRPr="003A015F">
        <w:t>.</w:t>
      </w:r>
      <w:r w:rsidR="00CE2895">
        <w:t xml:space="preserve"> Adoption is expected in 2023.</w:t>
      </w:r>
      <w:r w:rsidR="003A015F" w:rsidRPr="003A015F">
        <w:t xml:space="preserve"> </w:t>
      </w:r>
    </w:p>
    <w:p w14:paraId="1DB3CE14" w14:textId="4CEC10FB" w:rsidR="002C2D5C" w:rsidRPr="00BC20E6" w:rsidRDefault="002C2D5C" w:rsidP="002C2D5C">
      <w:pPr>
        <w:pStyle w:val="Heading3"/>
        <w:jc w:val="both"/>
      </w:pPr>
      <w:bookmarkStart w:id="56" w:name="_Toc64026783"/>
      <w:r w:rsidRPr="00BC20E6">
        <w:t xml:space="preserve">Policies in the </w:t>
      </w:r>
      <w:r>
        <w:t>adopted</w:t>
      </w:r>
      <w:r w:rsidRPr="00BC20E6">
        <w:t xml:space="preserve"> </w:t>
      </w:r>
      <w:r>
        <w:t>l</w:t>
      </w:r>
      <w:r w:rsidRPr="00BC20E6">
        <w:t xml:space="preserve">ocal </w:t>
      </w:r>
      <w:r>
        <w:t>p</w:t>
      </w:r>
      <w:r w:rsidRPr="00BC20E6">
        <w:t>la</w:t>
      </w:r>
      <w:r>
        <w:t>n</w:t>
      </w:r>
      <w:r w:rsidR="003B175A">
        <w:rPr>
          <w:rStyle w:val="FootnoteReference"/>
        </w:rPr>
        <w:footnoteReference w:id="8"/>
      </w:r>
      <w:bookmarkEnd w:id="56"/>
    </w:p>
    <w:p w14:paraId="6C16631F" w14:textId="20CDC989" w:rsidR="008E19B0" w:rsidRPr="00A82210" w:rsidRDefault="008E19B0" w:rsidP="00A82210">
      <w:pPr>
        <w:pStyle w:val="ListNumber"/>
        <w:rPr>
          <w:rFonts w:eastAsiaTheme="minorHAnsi"/>
        </w:rPr>
      </w:pPr>
      <w:r w:rsidRPr="00A82210">
        <w:t>The adopted</w:t>
      </w:r>
      <w:r w:rsidR="00AD3891" w:rsidRPr="00A82210">
        <w:t xml:space="preserve"> West Dorset, Weymouth and Portland</w:t>
      </w:r>
      <w:r w:rsidRPr="00A82210">
        <w:t xml:space="preserve"> Local Plan, in its settlement hierarchy as part of Policy SUS2, designates Weymouth as a “Main Town”. It recognise</w:t>
      </w:r>
      <w:r w:rsidR="00DD26B3">
        <w:t>s</w:t>
      </w:r>
      <w:r w:rsidRPr="00A82210">
        <w:t xml:space="preserve"> that Chickerell (which has its own Neighbourhood Plan</w:t>
      </w:r>
      <w:r w:rsidRPr="00CC364C">
        <w:rPr>
          <w:rStyle w:val="FootnoteReference"/>
          <w:rFonts w:ascii="Arial" w:hAnsi="Arial"/>
          <w:color w:val="000000"/>
        </w:rPr>
        <w:footnoteReference w:id="9"/>
      </w:r>
      <w:r w:rsidRPr="00A82210">
        <w:t>) and parts of Littlemoor form outlying parts of the urban area of Weymouth.</w:t>
      </w:r>
      <w:r w:rsidR="00CE2895">
        <w:t xml:space="preserve"> Land to the North Of Littlemoor was put forward as a Development Area and lies within Bincombe Parish.</w:t>
      </w:r>
      <w:r w:rsidRPr="00A82210">
        <w:t xml:space="preserve"> However, these are not included in the designated Neighbourhood Plan area, which is therefore smaller than the contiguous urban area. </w:t>
      </w:r>
      <w:r w:rsidR="007D1FFB" w:rsidRPr="00A82210">
        <w:t xml:space="preserve">The tight Neighbourhood Plan and administrative boundary also does not reflect the economic catchment and functionality of the </w:t>
      </w:r>
      <w:r w:rsidR="00DD26B3">
        <w:t>area</w:t>
      </w:r>
      <w:r w:rsidR="007D1FFB" w:rsidRPr="00A82210">
        <w:t>, with a considerable amount of out</w:t>
      </w:r>
      <w:r w:rsidR="00B714A0" w:rsidRPr="00A82210">
        <w:t>-</w:t>
      </w:r>
      <w:r w:rsidR="007D1FFB" w:rsidRPr="00A82210">
        <w:t xml:space="preserve">commuting happening </w:t>
      </w:r>
      <w:r w:rsidR="00DD26B3">
        <w:t xml:space="preserve">from Weymouth </w:t>
      </w:r>
      <w:r w:rsidR="007D1FFB" w:rsidRPr="00A82210">
        <w:t>to Chickerell, Dorchester and other employment areas.</w:t>
      </w:r>
    </w:p>
    <w:p w14:paraId="535B4D21" w14:textId="77777777" w:rsidR="00B17BA0" w:rsidRDefault="007D1FFB" w:rsidP="00A82210">
      <w:pPr>
        <w:pStyle w:val="ListNumber"/>
        <w:rPr>
          <w:rFonts w:eastAsiaTheme="minorHAnsi"/>
        </w:rPr>
      </w:pPr>
      <w:r w:rsidRPr="00A82210">
        <w:t xml:space="preserve">Weymouth, together with Dorchester, is designated by the Local Plan as </w:t>
      </w:r>
      <w:r w:rsidR="00DD26B3">
        <w:t xml:space="preserve">one of </w:t>
      </w:r>
      <w:r w:rsidRPr="00A82210">
        <w:t>the highest priority locations for new development</w:t>
      </w:r>
      <w:r w:rsidR="008E19B0" w:rsidRPr="00A82210">
        <w:t xml:space="preserve">. </w:t>
      </w:r>
      <w:r w:rsidRPr="00A82210">
        <w:rPr>
          <w:rFonts w:eastAsiaTheme="minorHAnsi"/>
        </w:rPr>
        <w:t>Within the defined development boundaries</w:t>
      </w:r>
      <w:r w:rsidR="00B17BA0">
        <w:rPr>
          <w:rFonts w:eastAsiaTheme="minorHAnsi"/>
        </w:rPr>
        <w:t>,</w:t>
      </w:r>
      <w:r w:rsidRPr="00A82210">
        <w:rPr>
          <w:rFonts w:eastAsiaTheme="minorHAnsi"/>
        </w:rPr>
        <w:t xml:space="preserve"> residential, employment and other development to meet the needs of the local area will normally be permitted. Weymouth is the largest town in the Local Plan area. Housing supply</w:t>
      </w:r>
      <w:r w:rsidR="00B714A0" w:rsidRPr="00A82210">
        <w:rPr>
          <w:rFonts w:eastAsiaTheme="minorHAnsi"/>
        </w:rPr>
        <w:t xml:space="preserve"> </w:t>
      </w:r>
      <w:r w:rsidR="00B17BA0" w:rsidRPr="00A82210">
        <w:rPr>
          <w:rFonts w:eastAsiaTheme="minorHAnsi"/>
        </w:rPr>
        <w:t>for g</w:t>
      </w:r>
      <w:r w:rsidR="00B17BA0" w:rsidRPr="00A82210">
        <w:t xml:space="preserve">rowth </w:t>
      </w:r>
      <w:r w:rsidR="00B714A0" w:rsidRPr="00A82210">
        <w:rPr>
          <w:rFonts w:eastAsiaTheme="minorHAnsi"/>
        </w:rPr>
        <w:t>(</w:t>
      </w:r>
      <w:r w:rsidR="00B17BA0">
        <w:rPr>
          <w:rFonts w:eastAsiaTheme="minorHAnsi"/>
        </w:rPr>
        <w:t xml:space="preserve">on </w:t>
      </w:r>
      <w:r w:rsidR="00B714A0" w:rsidRPr="00A82210">
        <w:rPr>
          <w:rFonts w:eastAsiaTheme="minorHAnsi"/>
        </w:rPr>
        <w:t xml:space="preserve">strategic </w:t>
      </w:r>
      <w:r w:rsidR="00AD3891" w:rsidRPr="00A82210">
        <w:rPr>
          <w:rFonts w:eastAsiaTheme="minorHAnsi"/>
        </w:rPr>
        <w:t xml:space="preserve">housing </w:t>
      </w:r>
      <w:r w:rsidR="00B714A0" w:rsidRPr="00A82210">
        <w:rPr>
          <w:rFonts w:eastAsiaTheme="minorHAnsi"/>
        </w:rPr>
        <w:t>allocation</w:t>
      </w:r>
      <w:r w:rsidR="00AD3891" w:rsidRPr="00A82210">
        <w:rPr>
          <w:rFonts w:eastAsiaTheme="minorHAnsi"/>
        </w:rPr>
        <w:t xml:space="preserve"> site</w:t>
      </w:r>
      <w:r w:rsidR="00B714A0" w:rsidRPr="00A82210">
        <w:rPr>
          <w:rFonts w:eastAsiaTheme="minorHAnsi"/>
        </w:rPr>
        <w:t>s)</w:t>
      </w:r>
      <w:r w:rsidRPr="00A82210">
        <w:rPr>
          <w:rFonts w:eastAsiaTheme="minorHAnsi"/>
        </w:rPr>
        <w:t xml:space="preserve"> </w:t>
      </w:r>
      <w:r w:rsidR="008E19B0" w:rsidRPr="00A82210">
        <w:t xml:space="preserve">in </w:t>
      </w:r>
      <w:r w:rsidRPr="00A82210">
        <w:t>Weymouth is shown in Local Plan table 3.7 as being capable of accommodating 600+ units</w:t>
      </w:r>
      <w:r w:rsidR="00AD3891" w:rsidRPr="00A82210">
        <w:t>, to be delivered 2016-2031</w:t>
      </w:r>
      <w:r w:rsidR="008E19B0" w:rsidRPr="00A82210">
        <w:rPr>
          <w:rFonts w:eastAsiaTheme="minorHAnsi"/>
        </w:rPr>
        <w:t xml:space="preserve">. </w:t>
      </w:r>
      <w:r w:rsidRPr="00A82210">
        <w:rPr>
          <w:rFonts w:eastAsiaTheme="minorHAnsi"/>
        </w:rPr>
        <w:t xml:space="preserve">Weymouth is also the location of two key employment sites, one of which showed as proposed in the adopted plan and one as under development. </w:t>
      </w:r>
    </w:p>
    <w:p w14:paraId="4666FA9F" w14:textId="7ED24144" w:rsidR="007D1FFB" w:rsidRPr="00A82210" w:rsidRDefault="007D1FFB" w:rsidP="00A82210">
      <w:pPr>
        <w:pStyle w:val="ListNumber"/>
        <w:rPr>
          <w:rFonts w:eastAsiaTheme="minorHAnsi"/>
        </w:rPr>
      </w:pPr>
      <w:r w:rsidRPr="00A82210">
        <w:rPr>
          <w:rFonts w:eastAsiaTheme="minorHAnsi"/>
        </w:rPr>
        <w:t xml:space="preserve">Weymouth’s town centre is one of the five defined town centres in Dorset. </w:t>
      </w:r>
      <w:r w:rsidR="00B714A0" w:rsidRPr="00A82210">
        <w:rPr>
          <w:rFonts w:eastAsiaTheme="minorHAnsi"/>
        </w:rPr>
        <w:t>The regeneration of the Weymouth town centre is expected to deliver at least 600 new homes and significant commercial opportunities.</w:t>
      </w:r>
      <w:r w:rsidR="00B4554B">
        <w:rPr>
          <w:rFonts w:eastAsiaTheme="minorHAnsi"/>
        </w:rPr>
        <w:t xml:space="preserve"> Weymouth town centre serves a wider catchment than the extent of the Neighbourhood Plan boundary.</w:t>
      </w:r>
      <w:r w:rsidR="00B714A0" w:rsidRPr="00A82210">
        <w:rPr>
          <w:rFonts w:eastAsiaTheme="minorHAnsi"/>
        </w:rPr>
        <w:t xml:space="preserve"> The local plan area as a whole,</w:t>
      </w:r>
      <w:r w:rsidR="00B17BA0">
        <w:rPr>
          <w:rFonts w:eastAsiaTheme="minorHAnsi"/>
        </w:rPr>
        <w:t xml:space="preserve"> </w:t>
      </w:r>
      <w:r w:rsidR="00B714A0" w:rsidRPr="00A82210">
        <w:rPr>
          <w:rFonts w:eastAsiaTheme="minorHAnsi"/>
        </w:rPr>
        <w:t>during the adopted plan period, has to meet a need for 15,500 new homes (775 dwellings per annum)</w:t>
      </w:r>
      <w:r w:rsidR="00B4554B">
        <w:rPr>
          <w:rFonts w:eastAsiaTheme="minorHAnsi"/>
        </w:rPr>
        <w:t>, and Weymouth is the location of some of the higher development pressures within Dorset</w:t>
      </w:r>
      <w:r w:rsidR="00B714A0" w:rsidRPr="00A82210">
        <w:rPr>
          <w:rFonts w:eastAsiaTheme="minorHAnsi"/>
        </w:rPr>
        <w:t>.</w:t>
      </w:r>
    </w:p>
    <w:p w14:paraId="2A65A066" w14:textId="2FBB5EAC" w:rsidR="00860226" w:rsidRPr="00A82210" w:rsidRDefault="00860226" w:rsidP="00A82210">
      <w:pPr>
        <w:pStyle w:val="ListNumber"/>
        <w:rPr>
          <w:rFonts w:eastAsiaTheme="minorHAnsi"/>
        </w:rPr>
      </w:pPr>
      <w:r w:rsidRPr="00A82210">
        <w:rPr>
          <w:rFonts w:eastAsiaTheme="minorHAnsi"/>
        </w:rPr>
        <w:t xml:space="preserve">While </w:t>
      </w:r>
      <w:r w:rsidR="00B17BA0">
        <w:rPr>
          <w:rFonts w:eastAsiaTheme="minorHAnsi"/>
        </w:rPr>
        <w:t xml:space="preserve">the </w:t>
      </w:r>
      <w:r w:rsidRPr="00A82210">
        <w:rPr>
          <w:rFonts w:eastAsiaTheme="minorHAnsi"/>
        </w:rPr>
        <w:t>adopted plan acknowledges that the area has an aging population and that Weymouth will, over the plan period, have a greater proportion of people with their day to day activities limited by long term health issues compared with England as a whole, it does not contain a specific policy on housing for older people</w:t>
      </w:r>
      <w:r w:rsidR="00A82210" w:rsidRPr="00A82210">
        <w:rPr>
          <w:rFonts w:eastAsiaTheme="minorHAnsi"/>
        </w:rPr>
        <w:t xml:space="preserve"> which falls under Use Class C3 and would thus be subject to this Housing Needs Assessment </w:t>
      </w:r>
      <w:r w:rsidRPr="00A82210">
        <w:rPr>
          <w:rFonts w:eastAsiaTheme="minorHAnsi"/>
        </w:rPr>
        <w:t>(</w:t>
      </w:r>
      <w:r w:rsidR="00A82210" w:rsidRPr="00A82210">
        <w:rPr>
          <w:rFonts w:eastAsiaTheme="minorHAnsi"/>
        </w:rPr>
        <w:t xml:space="preserve">unlike </w:t>
      </w:r>
      <w:r w:rsidRPr="00A82210">
        <w:rPr>
          <w:rFonts w:eastAsiaTheme="minorHAnsi"/>
        </w:rPr>
        <w:t xml:space="preserve">care home accommodation, which is generally Use Class </w:t>
      </w:r>
      <w:r w:rsidR="00A82210" w:rsidRPr="00A82210">
        <w:rPr>
          <w:rFonts w:eastAsiaTheme="minorHAnsi"/>
        </w:rPr>
        <w:t>C2 and which is covered by Local Plan policy HOUS5)</w:t>
      </w:r>
      <w:r w:rsidRPr="00A82210">
        <w:rPr>
          <w:rFonts w:eastAsiaTheme="minorHAnsi"/>
        </w:rPr>
        <w:t xml:space="preserve">. </w:t>
      </w:r>
      <w:r w:rsidR="00A82210" w:rsidRPr="00A82210">
        <w:rPr>
          <w:rFonts w:eastAsiaTheme="minorHAnsi"/>
        </w:rPr>
        <w:t>The Local Plan supporting text acknowledges that it</w:t>
      </w:r>
      <w:r w:rsidRPr="00A82210">
        <w:rPr>
          <w:rFonts w:eastAsiaTheme="minorHAnsi"/>
        </w:rPr>
        <w:t xml:space="preserve"> is </w:t>
      </w:r>
      <w:r w:rsidR="00A82210" w:rsidRPr="00A82210">
        <w:rPr>
          <w:rFonts w:eastAsiaTheme="minorHAnsi"/>
        </w:rPr>
        <w:t>“</w:t>
      </w:r>
      <w:r w:rsidRPr="00A82210">
        <w:rPr>
          <w:rFonts w:eastAsiaTheme="minorHAnsi"/>
        </w:rPr>
        <w:t>important that new homes can adapt to the changing needs of occupiers. It is therefore the</w:t>
      </w:r>
      <w:r w:rsidR="00A82210">
        <w:rPr>
          <w:rFonts w:eastAsiaTheme="minorHAnsi"/>
        </w:rPr>
        <w:t xml:space="preserve"> </w:t>
      </w:r>
      <w:r w:rsidRPr="00A82210">
        <w:rPr>
          <w:rFonts w:eastAsiaTheme="minorHAnsi"/>
        </w:rPr>
        <w:t>intention to work with stakeholders and the local community to develop an approach for</w:t>
      </w:r>
      <w:r w:rsidR="00A82210" w:rsidRPr="00A82210">
        <w:rPr>
          <w:rFonts w:eastAsiaTheme="minorHAnsi"/>
        </w:rPr>
        <w:t xml:space="preserve"> </w:t>
      </w:r>
      <w:r w:rsidRPr="00A82210">
        <w:rPr>
          <w:rFonts w:eastAsiaTheme="minorHAnsi"/>
        </w:rPr>
        <w:t>adaptable and accessible development in accordance with government guidance. This will</w:t>
      </w:r>
      <w:r w:rsidR="00A82210" w:rsidRPr="00A82210">
        <w:rPr>
          <w:rFonts w:eastAsiaTheme="minorHAnsi"/>
        </w:rPr>
        <w:t xml:space="preserve"> </w:t>
      </w:r>
      <w:r w:rsidRPr="00A82210">
        <w:rPr>
          <w:rFonts w:eastAsiaTheme="minorHAnsi"/>
        </w:rPr>
        <w:t>ensure inclusive and flexible designs which future proofs development and makes sure it is</w:t>
      </w:r>
      <w:r w:rsidR="00A82210" w:rsidRPr="00A82210">
        <w:rPr>
          <w:rFonts w:eastAsiaTheme="minorHAnsi"/>
        </w:rPr>
        <w:t xml:space="preserve"> </w:t>
      </w:r>
      <w:r w:rsidRPr="00A82210">
        <w:rPr>
          <w:rFonts w:eastAsiaTheme="minorHAnsi"/>
        </w:rPr>
        <w:t>available to a wide section of the population</w:t>
      </w:r>
      <w:r w:rsidR="00A82210" w:rsidRPr="00A82210">
        <w:rPr>
          <w:rFonts w:eastAsiaTheme="minorHAnsi"/>
        </w:rPr>
        <w:t>” (paragraph 2.6.8)</w:t>
      </w:r>
      <w:r w:rsidRPr="00A82210">
        <w:rPr>
          <w:rFonts w:eastAsiaTheme="minorHAnsi"/>
        </w:rPr>
        <w:t>.</w:t>
      </w:r>
    </w:p>
    <w:p w14:paraId="08074D23" w14:textId="7AD2D09F" w:rsidR="002C2D5C" w:rsidRPr="00E64956" w:rsidRDefault="00AF5895" w:rsidP="00832DE0">
      <w:pPr>
        <w:pStyle w:val="Caption"/>
        <w:tabs>
          <w:tab w:val="left" w:pos="284"/>
        </w:tabs>
        <w:spacing w:before="0" w:line="240" w:lineRule="atLeast"/>
        <w:ind w:left="0"/>
        <w:jc w:val="both"/>
        <w:rPr>
          <w:rFonts w:eastAsiaTheme="minorHAnsi" w:cstheme="minorBidi"/>
          <w:kern w:val="18"/>
          <w:sz w:val="18"/>
          <w:szCs w:val="18"/>
          <w:lang w:eastAsia="en-US"/>
        </w:rPr>
      </w:pPr>
      <w:r>
        <w:rPr>
          <w:rFonts w:eastAsiaTheme="minorHAnsi" w:cstheme="minorBidi"/>
          <w:kern w:val="18"/>
          <w:sz w:val="18"/>
          <w:szCs w:val="18"/>
          <w:lang w:eastAsia="en-US"/>
        </w:rPr>
        <w:t>Table</w:t>
      </w:r>
      <w:r w:rsidR="00F94CB3">
        <w:rPr>
          <w:rFonts w:eastAsiaTheme="minorHAnsi" w:cstheme="minorBidi"/>
          <w:kern w:val="18"/>
          <w:sz w:val="18"/>
          <w:szCs w:val="18"/>
          <w:lang w:eastAsia="en-US"/>
        </w:rPr>
        <w:t xml:space="preserve"> </w:t>
      </w:r>
      <w:r w:rsidR="00BA4C32">
        <w:rPr>
          <w:rFonts w:eastAsiaTheme="minorHAnsi" w:cstheme="minorBidi"/>
          <w:kern w:val="18"/>
          <w:sz w:val="18"/>
          <w:szCs w:val="18"/>
          <w:lang w:eastAsia="en-US"/>
        </w:rPr>
        <w:fldChar w:fldCharType="begin"/>
      </w:r>
      <w:r w:rsidR="00BA4C32">
        <w:rPr>
          <w:rFonts w:eastAsiaTheme="minorHAnsi" w:cstheme="minorBidi"/>
          <w:kern w:val="18"/>
          <w:sz w:val="18"/>
          <w:szCs w:val="18"/>
          <w:lang w:eastAsia="en-US"/>
        </w:rPr>
        <w:instrText xml:space="preserve"> STYLEREF 1 \s </w:instrText>
      </w:r>
      <w:r w:rsidR="00BA4C32">
        <w:rPr>
          <w:rFonts w:eastAsiaTheme="minorHAnsi" w:cstheme="minorBidi"/>
          <w:kern w:val="18"/>
          <w:sz w:val="18"/>
          <w:szCs w:val="18"/>
          <w:lang w:eastAsia="en-US"/>
        </w:rPr>
        <w:fldChar w:fldCharType="separate"/>
      </w:r>
      <w:r w:rsidR="00BA4C32">
        <w:rPr>
          <w:rFonts w:eastAsiaTheme="minorHAnsi" w:cstheme="minorBidi"/>
          <w:noProof/>
          <w:kern w:val="18"/>
          <w:sz w:val="18"/>
          <w:szCs w:val="18"/>
          <w:lang w:eastAsia="en-US"/>
        </w:rPr>
        <w:t>2</w:t>
      </w:r>
      <w:r w:rsidR="00BA4C32">
        <w:rPr>
          <w:rFonts w:eastAsiaTheme="minorHAnsi" w:cstheme="minorBidi"/>
          <w:kern w:val="18"/>
          <w:sz w:val="18"/>
          <w:szCs w:val="18"/>
          <w:lang w:eastAsia="en-US"/>
        </w:rPr>
        <w:fldChar w:fldCharType="end"/>
      </w:r>
      <w:r w:rsidR="00BA4C32">
        <w:rPr>
          <w:rFonts w:eastAsiaTheme="minorHAnsi" w:cstheme="minorBidi"/>
          <w:kern w:val="18"/>
          <w:sz w:val="18"/>
          <w:szCs w:val="18"/>
          <w:lang w:eastAsia="en-US"/>
        </w:rPr>
        <w:noBreakHyphen/>
      </w:r>
      <w:r w:rsidR="00BA4C32">
        <w:rPr>
          <w:rFonts w:eastAsiaTheme="minorHAnsi" w:cstheme="minorBidi"/>
          <w:kern w:val="18"/>
          <w:sz w:val="18"/>
          <w:szCs w:val="18"/>
          <w:lang w:eastAsia="en-US"/>
        </w:rPr>
        <w:fldChar w:fldCharType="begin"/>
      </w:r>
      <w:r w:rsidR="00BA4C32">
        <w:rPr>
          <w:rFonts w:eastAsiaTheme="minorHAnsi" w:cstheme="minorBidi"/>
          <w:kern w:val="18"/>
          <w:sz w:val="18"/>
          <w:szCs w:val="18"/>
          <w:lang w:eastAsia="en-US"/>
        </w:rPr>
        <w:instrText xml:space="preserve"> SEQ Table \* ARABIC \s 1 </w:instrText>
      </w:r>
      <w:r w:rsidR="00BA4C32">
        <w:rPr>
          <w:rFonts w:eastAsiaTheme="minorHAnsi" w:cstheme="minorBidi"/>
          <w:kern w:val="18"/>
          <w:sz w:val="18"/>
          <w:szCs w:val="18"/>
          <w:lang w:eastAsia="en-US"/>
        </w:rPr>
        <w:fldChar w:fldCharType="separate"/>
      </w:r>
      <w:r w:rsidR="00BA4C32">
        <w:rPr>
          <w:rFonts w:eastAsiaTheme="minorHAnsi" w:cstheme="minorBidi"/>
          <w:noProof/>
          <w:kern w:val="18"/>
          <w:sz w:val="18"/>
          <w:szCs w:val="18"/>
          <w:lang w:eastAsia="en-US"/>
        </w:rPr>
        <w:t>2</w:t>
      </w:r>
      <w:r w:rsidR="00BA4C32">
        <w:rPr>
          <w:rFonts w:eastAsiaTheme="minorHAnsi" w:cstheme="minorBidi"/>
          <w:kern w:val="18"/>
          <w:sz w:val="18"/>
          <w:szCs w:val="18"/>
          <w:lang w:eastAsia="en-US"/>
        </w:rPr>
        <w:fldChar w:fldCharType="end"/>
      </w:r>
      <w:r w:rsidR="002C2D5C" w:rsidRPr="00E64956">
        <w:rPr>
          <w:rFonts w:eastAsiaTheme="minorHAnsi" w:cstheme="minorBidi"/>
          <w:kern w:val="18"/>
          <w:sz w:val="18"/>
          <w:szCs w:val="18"/>
          <w:lang w:eastAsia="en-US"/>
        </w:rPr>
        <w:t xml:space="preserve">: Summary of </w:t>
      </w:r>
      <w:r w:rsidR="00AD3891">
        <w:rPr>
          <w:rFonts w:eastAsiaTheme="minorHAnsi" w:cstheme="minorBidi"/>
          <w:kern w:val="18"/>
          <w:sz w:val="18"/>
          <w:szCs w:val="18"/>
          <w:lang w:eastAsia="en-US"/>
        </w:rPr>
        <w:t>West Dorset, Weymouth and Portland</w:t>
      </w:r>
      <w:r w:rsidR="002C2D5C" w:rsidRPr="00E64956">
        <w:rPr>
          <w:rFonts w:eastAsiaTheme="minorHAnsi" w:cstheme="minorBidi"/>
          <w:kern w:val="18"/>
          <w:sz w:val="18"/>
          <w:szCs w:val="18"/>
          <w:lang w:eastAsia="en-US"/>
        </w:rPr>
        <w:t xml:space="preserve"> adopted policies having relevance to </w:t>
      </w:r>
      <w:r w:rsidR="0015105E">
        <w:rPr>
          <w:rFonts w:eastAsiaTheme="minorHAnsi" w:cstheme="minorBidi"/>
          <w:kern w:val="18"/>
          <w:sz w:val="18"/>
          <w:szCs w:val="18"/>
          <w:lang w:eastAsia="en-US"/>
        </w:rPr>
        <w:t>Weymouth</w:t>
      </w:r>
      <w:r w:rsidR="002C2D5C" w:rsidRPr="00E64956">
        <w:rPr>
          <w:rFonts w:eastAsiaTheme="minorHAnsi" w:cstheme="minorBidi"/>
          <w:kern w:val="18"/>
          <w:sz w:val="18"/>
          <w:szCs w:val="18"/>
          <w:lang w:eastAsia="en-US"/>
        </w:rPr>
        <w:t xml:space="preserve"> Neighbourhood Plan Housing Needs Assessment</w:t>
      </w:r>
    </w:p>
    <w:tbl>
      <w:tblPr>
        <w:tblStyle w:val="AECOMtable"/>
        <w:tblW w:w="4973" w:type="pct"/>
        <w:tblLayout w:type="fixed"/>
        <w:tblLook w:val="04A0" w:firstRow="1" w:lastRow="0" w:firstColumn="1" w:lastColumn="0" w:noHBand="0" w:noVBand="1"/>
      </w:tblPr>
      <w:tblGrid>
        <w:gridCol w:w="2268"/>
        <w:gridCol w:w="7513"/>
      </w:tblGrid>
      <w:tr w:rsidR="00F55A86" w:rsidRPr="00E64956" w14:paraId="5A6851E1" w14:textId="77777777" w:rsidTr="00A82210">
        <w:trPr>
          <w:cnfStyle w:val="100000000000" w:firstRow="1" w:lastRow="0" w:firstColumn="0" w:lastColumn="0" w:oddVBand="0" w:evenVBand="0" w:oddHBand="0" w:evenHBand="0" w:firstRowFirstColumn="0" w:firstRowLastColumn="0" w:lastRowFirstColumn="0" w:lastRowLastColumn="0"/>
          <w:cantSplit/>
          <w:tblHeader/>
        </w:trPr>
        <w:tc>
          <w:tcPr>
            <w:tcW w:w="2268" w:type="dxa"/>
          </w:tcPr>
          <w:p w14:paraId="1B26F95B" w14:textId="4A7C6FBB" w:rsidR="00F55A86" w:rsidRPr="00E64956" w:rsidRDefault="00F55A86" w:rsidP="00F55A86">
            <w:pPr>
              <w:pStyle w:val="Tabletext"/>
              <w:rPr>
                <w:rFonts w:asciiTheme="minorHAnsi" w:hAnsiTheme="minorHAnsi"/>
                <w:b w:val="0"/>
                <w:color w:val="auto"/>
                <w:sz w:val="18"/>
                <w:szCs w:val="18"/>
              </w:rPr>
            </w:pPr>
            <w:r>
              <w:rPr>
                <w:sz w:val="18"/>
                <w:szCs w:val="18"/>
              </w:rPr>
              <w:t xml:space="preserve">Adopted West Dorset, Weymouth and Portland Local Plan </w:t>
            </w:r>
            <w:r w:rsidRPr="00E64956">
              <w:rPr>
                <w:sz w:val="18"/>
                <w:szCs w:val="18"/>
              </w:rPr>
              <w:t>Policy</w:t>
            </w:r>
          </w:p>
        </w:tc>
        <w:tc>
          <w:tcPr>
            <w:tcW w:w="7513" w:type="dxa"/>
          </w:tcPr>
          <w:p w14:paraId="3B9190AF" w14:textId="77777777" w:rsidR="00F55A86" w:rsidRPr="00E64956" w:rsidRDefault="00F55A86" w:rsidP="00C378B2">
            <w:pPr>
              <w:pStyle w:val="Tabletext"/>
              <w:jc w:val="both"/>
              <w:rPr>
                <w:sz w:val="18"/>
                <w:szCs w:val="18"/>
              </w:rPr>
            </w:pPr>
            <w:r w:rsidRPr="00E64956">
              <w:rPr>
                <w:sz w:val="18"/>
                <w:szCs w:val="18"/>
              </w:rPr>
              <w:t>Provisions</w:t>
            </w:r>
          </w:p>
        </w:tc>
      </w:tr>
      <w:tr w:rsidR="00F55A86" w:rsidRPr="00E64956" w14:paraId="72CB21C3" w14:textId="77777777" w:rsidTr="00A82210">
        <w:trPr>
          <w:cantSplit/>
          <w:trHeight w:val="240"/>
        </w:trPr>
        <w:tc>
          <w:tcPr>
            <w:tcW w:w="2268" w:type="dxa"/>
          </w:tcPr>
          <w:p w14:paraId="6F1A0970" w14:textId="7DC6B206" w:rsidR="00F55A86" w:rsidRPr="00E64956" w:rsidRDefault="00F55A86" w:rsidP="00F55A86">
            <w:pPr>
              <w:pStyle w:val="Tabletext"/>
              <w:rPr>
                <w:sz w:val="18"/>
                <w:szCs w:val="18"/>
              </w:rPr>
            </w:pPr>
            <w:r>
              <w:rPr>
                <w:sz w:val="18"/>
                <w:szCs w:val="18"/>
              </w:rPr>
              <w:t>SUS2 – Distribution of Development</w:t>
            </w:r>
          </w:p>
        </w:tc>
        <w:tc>
          <w:tcPr>
            <w:tcW w:w="7513" w:type="dxa"/>
          </w:tcPr>
          <w:p w14:paraId="77CB798D" w14:textId="70D7FF88" w:rsidR="00F55A86" w:rsidRPr="007B3C65" w:rsidRDefault="00F55A86" w:rsidP="00A82210">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The main towns of Dorchester and Weymouth (of which Chickerell and parts</w:t>
            </w:r>
            <w:r w:rsidR="00A82210">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of Littlemoor form outlying parts) will be the highest priority locations for</w:t>
            </w:r>
            <w:r w:rsidR="00A82210">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new development;</w:t>
            </w:r>
          </w:p>
          <w:p w14:paraId="57BC1E19" w14:textId="77B089C4"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Within the defined development boundaries</w:t>
            </w:r>
            <w:r w:rsidR="00B17BA0">
              <w:rPr>
                <w:rFonts w:asciiTheme="minorHAnsi" w:eastAsiaTheme="minorHAnsi" w:hAnsiTheme="minorHAnsi" w:cstheme="minorHAnsi"/>
                <w:color w:val="auto"/>
                <w:sz w:val="18"/>
                <w:szCs w:val="18"/>
                <w:lang w:eastAsia="en-US"/>
              </w:rPr>
              <w:t>,</w:t>
            </w:r>
            <w:r w:rsidRPr="007B3C65">
              <w:rPr>
                <w:rFonts w:asciiTheme="minorHAnsi" w:eastAsiaTheme="minorHAnsi" w:hAnsiTheme="minorHAnsi" w:cstheme="minorHAnsi"/>
                <w:color w:val="auto"/>
                <w:sz w:val="18"/>
                <w:szCs w:val="18"/>
                <w:lang w:eastAsia="en-US"/>
              </w:rPr>
              <w:t xml:space="preserve"> residential, employment and other development to meet the needs of the local area will normally be permitted.</w:t>
            </w:r>
          </w:p>
          <w:p w14:paraId="0C7EAD4D" w14:textId="4AC8FF55" w:rsidR="00F55A86" w:rsidRPr="007B3C65" w:rsidRDefault="00F55A86" w:rsidP="00A82210">
            <w:pPr>
              <w:autoSpaceDE w:val="0"/>
              <w:autoSpaceDN w:val="0"/>
              <w:adjustRightInd w:val="0"/>
              <w:spacing w:before="0" w:after="0" w:line="240" w:lineRule="auto"/>
              <w:rPr>
                <w:rFonts w:asciiTheme="minorHAnsi" w:hAnsiTheme="minorHAnsi" w:cstheme="minorHAnsi"/>
                <w:sz w:val="18"/>
                <w:szCs w:val="18"/>
              </w:rPr>
            </w:pPr>
            <w:r w:rsidRPr="007B3C65">
              <w:rPr>
                <w:rFonts w:asciiTheme="minorHAnsi" w:eastAsiaTheme="minorHAnsi" w:hAnsiTheme="minorHAnsi" w:cstheme="minorHAnsi"/>
                <w:color w:val="auto"/>
                <w:sz w:val="18"/>
                <w:szCs w:val="18"/>
                <w:lang w:eastAsia="en-US"/>
              </w:rPr>
              <w:t>Outside defined development boundaries, development will be strictly</w:t>
            </w:r>
            <w:r w:rsidR="00A82210">
              <w:rPr>
                <w:rFonts w:asciiTheme="minorHAnsi" w:eastAsiaTheme="minorHAnsi" w:hAnsiTheme="minorHAnsi" w:cstheme="minorHAnsi"/>
                <w:color w:val="auto"/>
                <w:sz w:val="18"/>
                <w:szCs w:val="18"/>
                <w:lang w:eastAsia="en-US"/>
              </w:rPr>
              <w:t xml:space="preserve"> c</w:t>
            </w:r>
            <w:r w:rsidRPr="007B3C65">
              <w:rPr>
                <w:rFonts w:asciiTheme="minorHAnsi" w:eastAsiaTheme="minorHAnsi" w:hAnsiTheme="minorHAnsi" w:cstheme="minorHAnsi"/>
                <w:color w:val="auto"/>
                <w:sz w:val="18"/>
                <w:szCs w:val="18"/>
                <w:lang w:eastAsia="en-US"/>
              </w:rPr>
              <w:t>ontrolled;</w:t>
            </w:r>
          </w:p>
        </w:tc>
      </w:tr>
      <w:tr w:rsidR="00F55A86" w:rsidRPr="00E64956" w14:paraId="35323A24" w14:textId="77777777" w:rsidTr="00A82210">
        <w:trPr>
          <w:cantSplit/>
          <w:trHeight w:val="240"/>
        </w:trPr>
        <w:tc>
          <w:tcPr>
            <w:tcW w:w="2268" w:type="dxa"/>
          </w:tcPr>
          <w:p w14:paraId="75DB17EB" w14:textId="257BDA2F" w:rsidR="00F55A86" w:rsidRPr="00E64956" w:rsidRDefault="00F55A86" w:rsidP="00F55A86">
            <w:pPr>
              <w:pStyle w:val="Tabletext"/>
              <w:rPr>
                <w:sz w:val="18"/>
                <w:szCs w:val="18"/>
              </w:rPr>
            </w:pPr>
            <w:r w:rsidRPr="007B3C65">
              <w:rPr>
                <w:rFonts w:asciiTheme="minorHAnsi" w:eastAsiaTheme="minorHAnsi" w:hAnsiTheme="minorHAnsi" w:cstheme="minorHAnsi"/>
                <w:color w:val="auto"/>
                <w:sz w:val="18"/>
                <w:szCs w:val="18"/>
                <w:lang w:eastAsia="en-US"/>
              </w:rPr>
              <w:t>SUS5</w:t>
            </w:r>
            <w:r>
              <w:rPr>
                <w:rFonts w:asciiTheme="minorHAnsi" w:eastAsiaTheme="minorHAnsi" w:hAnsiTheme="minorHAnsi" w:cstheme="minorHAnsi"/>
                <w:color w:val="auto"/>
                <w:sz w:val="18"/>
                <w:szCs w:val="18"/>
                <w:lang w:eastAsia="en-US"/>
              </w:rPr>
              <w:t xml:space="preserve"> – Neighbourhood Development Plans</w:t>
            </w:r>
          </w:p>
        </w:tc>
        <w:tc>
          <w:tcPr>
            <w:tcW w:w="7513" w:type="dxa"/>
          </w:tcPr>
          <w:p w14:paraId="4B55427E" w14:textId="77777777"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i) Neighbourhood Development Plans should:</w:t>
            </w:r>
          </w:p>
          <w:p w14:paraId="03E0F9A3" w14:textId="79344A3D"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 show how they are contributing towards the strategic objectives of this plan</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and be in general conformity with its strategic approach;</w:t>
            </w:r>
          </w:p>
          <w:p w14:paraId="260F6263" w14:textId="39F61D34"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 clearly set out how they will promote sustainable development in their area</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at the same level or over and above that which would otherwise be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delivered through the local plan;</w:t>
            </w:r>
          </w:p>
          <w:p w14:paraId="68637AE1" w14:textId="5D285FC7"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 have due regard to information on local need for new homes, jobs and</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facilities, for their plan area and any outlying areas which they may serve;</w:t>
            </w:r>
          </w:p>
          <w:p w14:paraId="147DB26A" w14:textId="025C56C7" w:rsidR="00F55A86" w:rsidRPr="007B3C65" w:rsidRDefault="00F55A86" w:rsidP="00F55A86">
            <w:pPr>
              <w:autoSpaceDE w:val="0"/>
              <w:autoSpaceDN w:val="0"/>
              <w:adjustRightInd w:val="0"/>
              <w:spacing w:before="0" w:after="0" w:line="240" w:lineRule="auto"/>
              <w:rPr>
                <w:rFonts w:asciiTheme="minorHAnsi" w:hAnsiTheme="minorHAnsi" w:cstheme="minorHAnsi"/>
                <w:sz w:val="18"/>
                <w:szCs w:val="18"/>
              </w:rPr>
            </w:pPr>
            <w:r w:rsidRPr="007B3C65">
              <w:rPr>
                <w:rFonts w:asciiTheme="minorHAnsi" w:eastAsiaTheme="minorHAnsi" w:hAnsiTheme="minorHAnsi" w:cstheme="minorHAnsi"/>
                <w:color w:val="auto"/>
                <w:sz w:val="18"/>
                <w:szCs w:val="18"/>
                <w:lang w:eastAsia="en-US"/>
              </w:rPr>
              <w:t>• demonstrate that they are credible, justifiable and achievable. This can be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assisted by involving landowners, developers and service providers in their</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preparation.</w:t>
            </w:r>
          </w:p>
        </w:tc>
      </w:tr>
      <w:tr w:rsidR="00F55A86" w:rsidRPr="00E64956" w14:paraId="2796BCA3" w14:textId="77777777" w:rsidTr="00A82210">
        <w:trPr>
          <w:cantSplit/>
          <w:trHeight w:val="240"/>
        </w:trPr>
        <w:tc>
          <w:tcPr>
            <w:tcW w:w="2268" w:type="dxa"/>
          </w:tcPr>
          <w:p w14:paraId="272B43DE" w14:textId="494DF5D1" w:rsidR="00F55A86" w:rsidRPr="00E64956" w:rsidRDefault="00F55A86" w:rsidP="00F55A86">
            <w:pPr>
              <w:pStyle w:val="Tabletext"/>
              <w:rPr>
                <w:sz w:val="18"/>
                <w:szCs w:val="18"/>
              </w:rPr>
            </w:pPr>
            <w:r>
              <w:rPr>
                <w:sz w:val="18"/>
                <w:szCs w:val="18"/>
              </w:rPr>
              <w:t xml:space="preserve">HOUS1 – Affordable Housing </w:t>
            </w:r>
          </w:p>
        </w:tc>
        <w:tc>
          <w:tcPr>
            <w:tcW w:w="7513" w:type="dxa"/>
          </w:tcPr>
          <w:p w14:paraId="36755423" w14:textId="11B95C32"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i) Where open market housing is proposed affordable housing will be sought,</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unless the proposal is for replacement or subdivision of an existing home. The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level of affordable housing required reflects the viability of development land in</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the local area and will be</w:t>
            </w:r>
            <w:r w:rsidR="00872208">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35% in Weymouth.</w:t>
            </w:r>
          </w:p>
          <w:p w14:paraId="33610906" w14:textId="2BC5449E"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ii) In most cases, where one or more affordable homes are being provided, these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should be provided on the open market site. Financial contributions towards the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provision of affordable housing will be required for any shortfall that cannot be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delivered on the site.</w:t>
            </w:r>
          </w:p>
          <w:p w14:paraId="35C02467" w14:textId="280A334A"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iv) Within any affordable housing provision, the councils will seek the inclusion of a</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minimum of 70% social / affordable rent and a maximum of 30% intermediate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affordable housing,</w:t>
            </w:r>
            <w:r w:rsidR="00872208">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unless identified local needs indicate that alternative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provision would be appropriate.</w:t>
            </w:r>
          </w:p>
          <w:p w14:paraId="14C4CCE6" w14:textId="4E4C92B4"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v) The type, size and mix of affordable housing will be expected to address the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identified and prioritised housing needs of the area and should be proportionate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to the scale and mix of market housing, resulting in a balanced community of</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housing</w:t>
            </w:r>
            <w:r w:rsidR="000F0282">
              <w:rPr>
                <w:rFonts w:asciiTheme="minorHAnsi" w:eastAsiaTheme="minorHAnsi" w:hAnsiTheme="minorHAnsi" w:cstheme="minorHAnsi"/>
                <w:color w:val="auto"/>
                <w:sz w:val="18"/>
                <w:szCs w:val="18"/>
                <w:lang w:eastAsia="en-US"/>
              </w:rPr>
              <w:t xml:space="preserve"> …</w:t>
            </w:r>
          </w:p>
          <w:p w14:paraId="7F562A03" w14:textId="7BFAB87C" w:rsidR="00F55A86" w:rsidRPr="007B3C65" w:rsidRDefault="00F55A86" w:rsidP="00F55A86">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vi) Where there is an identified local need for specially designed affordable housing</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to cater for disabled people with particular needs, or affordable housing that can</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be easily adapted to meet a variety of such needs, developments should</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prioritise provision of this</w:t>
            </w:r>
            <w:r w:rsidR="00860226">
              <w:rPr>
                <w:rFonts w:asciiTheme="minorHAnsi" w:eastAsiaTheme="minorHAnsi" w:hAnsiTheme="minorHAnsi" w:cstheme="minorHAnsi"/>
                <w:color w:val="auto"/>
                <w:sz w:val="18"/>
                <w:szCs w:val="18"/>
                <w:lang w:eastAsia="en-US"/>
              </w:rPr>
              <w:t xml:space="preserve"> a</w:t>
            </w:r>
            <w:r w:rsidRPr="007B3C65">
              <w:rPr>
                <w:rFonts w:asciiTheme="minorHAnsi" w:eastAsiaTheme="minorHAnsi" w:hAnsiTheme="minorHAnsi" w:cstheme="minorHAnsi"/>
                <w:color w:val="auto"/>
                <w:sz w:val="18"/>
                <w:szCs w:val="18"/>
                <w:lang w:eastAsia="en-US"/>
              </w:rPr>
              <w:t>ccommodation.</w:t>
            </w:r>
          </w:p>
        </w:tc>
      </w:tr>
      <w:tr w:rsidR="00F55A86" w:rsidRPr="00E64956" w14:paraId="26152940" w14:textId="77777777" w:rsidTr="00A82210">
        <w:trPr>
          <w:cantSplit/>
          <w:trHeight w:val="240"/>
        </w:trPr>
        <w:tc>
          <w:tcPr>
            <w:tcW w:w="2268" w:type="dxa"/>
            <w:tcBorders>
              <w:bottom w:val="single" w:sz="4" w:space="0" w:color="auto"/>
            </w:tcBorders>
          </w:tcPr>
          <w:p w14:paraId="59A5EAC4" w14:textId="67706D72" w:rsidR="00F55A86" w:rsidRPr="00E64956" w:rsidRDefault="00F55A86" w:rsidP="00F55A86">
            <w:pPr>
              <w:pStyle w:val="Tabletext"/>
              <w:rPr>
                <w:sz w:val="18"/>
                <w:szCs w:val="18"/>
              </w:rPr>
            </w:pPr>
            <w:r>
              <w:rPr>
                <w:sz w:val="18"/>
                <w:szCs w:val="18"/>
              </w:rPr>
              <w:t>HOUS2 – Affordable Housing Exception Sites</w:t>
            </w:r>
          </w:p>
        </w:tc>
        <w:tc>
          <w:tcPr>
            <w:tcW w:w="7513" w:type="dxa"/>
            <w:tcBorders>
              <w:bottom w:val="single" w:sz="4" w:space="0" w:color="auto"/>
            </w:tcBorders>
          </w:tcPr>
          <w:p w14:paraId="22ADB939" w14:textId="5CE61D24"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i) Small scale sites for affordable housing adjoining settlements may be permitted</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provided that:</w:t>
            </w:r>
          </w:p>
          <w:p w14:paraId="514DEFC1" w14:textId="2BB84BFC"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 the council is satisfied that the proposal is capable of meeting an identified,</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current, local need within the town, local parish or group of parishes, which</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cannot otherwise be met;</w:t>
            </w:r>
          </w:p>
          <w:p w14:paraId="35F3B174" w14:textId="77777777" w:rsidR="00F55A86" w:rsidRPr="007B3C65" w:rsidRDefault="00F55A86" w:rsidP="007B3C65">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 the scheme is of a character, scale and design appropriate to the location;</w:t>
            </w:r>
          </w:p>
          <w:p w14:paraId="355201A0" w14:textId="491BF23E" w:rsidR="00F55A86" w:rsidRPr="007B3C65" w:rsidRDefault="00F55A86" w:rsidP="00F55A86">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 there are secure arrangements to ensure that the benefits of affordable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housing will be enjoyed by subsequent as well as initial occupiers.</w:t>
            </w:r>
          </w:p>
        </w:tc>
      </w:tr>
      <w:tr w:rsidR="00F55A86" w:rsidRPr="00E64956" w14:paraId="1A791D09" w14:textId="77777777" w:rsidTr="00A82210">
        <w:trPr>
          <w:cantSplit/>
          <w:trHeight w:val="240"/>
        </w:trPr>
        <w:tc>
          <w:tcPr>
            <w:tcW w:w="2268" w:type="dxa"/>
            <w:tcBorders>
              <w:top w:val="single" w:sz="4" w:space="0" w:color="auto"/>
              <w:bottom w:val="single" w:sz="4" w:space="0" w:color="auto"/>
            </w:tcBorders>
          </w:tcPr>
          <w:p w14:paraId="10213B24" w14:textId="68606D83" w:rsidR="00F55A86" w:rsidRPr="00E64956" w:rsidRDefault="00F55A86" w:rsidP="00A82210">
            <w:pPr>
              <w:pStyle w:val="Tabletext"/>
              <w:rPr>
                <w:sz w:val="18"/>
                <w:szCs w:val="18"/>
              </w:rPr>
            </w:pPr>
            <w:r>
              <w:rPr>
                <w:sz w:val="18"/>
                <w:szCs w:val="18"/>
              </w:rPr>
              <w:t>HOUS3 – Open Market Housing Mix</w:t>
            </w:r>
          </w:p>
        </w:tc>
        <w:tc>
          <w:tcPr>
            <w:tcW w:w="7513" w:type="dxa"/>
            <w:tcBorders>
              <w:top w:val="single" w:sz="4" w:space="0" w:color="auto"/>
              <w:bottom w:val="single" w:sz="4" w:space="0" w:color="auto"/>
            </w:tcBorders>
          </w:tcPr>
          <w:p w14:paraId="5683D46C" w14:textId="3265F0A0" w:rsidR="00F55A86" w:rsidRPr="007B3C65" w:rsidRDefault="00F55A86" w:rsidP="00F55A86">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7B3C65">
              <w:rPr>
                <w:rFonts w:asciiTheme="minorHAnsi" w:eastAsiaTheme="minorHAnsi" w:hAnsiTheme="minorHAnsi" w:cstheme="minorHAnsi"/>
                <w:color w:val="auto"/>
                <w:sz w:val="18"/>
                <w:szCs w:val="18"/>
                <w:lang w:eastAsia="en-US"/>
              </w:rPr>
              <w:t>i) Wherever possible, residential developments should include a mix in the size,</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type and affordability of dwellings proposed, taking into account the current</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range of house types and sizes and likely demand in view of the changing</w:t>
            </w:r>
            <w:r>
              <w:rPr>
                <w:rFonts w:asciiTheme="minorHAnsi" w:eastAsiaTheme="minorHAnsi" w:hAnsiTheme="minorHAnsi" w:cstheme="minorHAnsi"/>
                <w:color w:val="auto"/>
                <w:sz w:val="18"/>
                <w:szCs w:val="18"/>
                <w:lang w:eastAsia="en-US"/>
              </w:rPr>
              <w:t xml:space="preserve"> </w:t>
            </w:r>
            <w:r w:rsidRPr="007B3C65">
              <w:rPr>
                <w:rFonts w:asciiTheme="minorHAnsi" w:eastAsiaTheme="minorHAnsi" w:hAnsiTheme="minorHAnsi" w:cstheme="minorHAnsi"/>
                <w:color w:val="auto"/>
                <w:sz w:val="18"/>
                <w:szCs w:val="18"/>
                <w:lang w:eastAsia="en-US"/>
              </w:rPr>
              <w:t>demographics in that locality.</w:t>
            </w:r>
          </w:p>
        </w:tc>
      </w:tr>
      <w:tr w:rsidR="00860226" w:rsidRPr="00E64956" w14:paraId="3501A5E4" w14:textId="77777777" w:rsidTr="00A82210">
        <w:trPr>
          <w:cantSplit/>
          <w:trHeight w:val="240"/>
        </w:trPr>
        <w:tc>
          <w:tcPr>
            <w:tcW w:w="2268" w:type="dxa"/>
            <w:tcBorders>
              <w:top w:val="single" w:sz="4" w:space="0" w:color="auto"/>
              <w:bottom w:val="single" w:sz="4" w:space="0" w:color="auto"/>
            </w:tcBorders>
          </w:tcPr>
          <w:p w14:paraId="2248F73A" w14:textId="19E9D4B5" w:rsidR="00860226" w:rsidRDefault="00860226" w:rsidP="00860226">
            <w:pPr>
              <w:pStyle w:val="Tabletext"/>
              <w:rPr>
                <w:sz w:val="18"/>
                <w:szCs w:val="18"/>
              </w:rPr>
            </w:pPr>
            <w:r>
              <w:rPr>
                <w:sz w:val="18"/>
                <w:szCs w:val="18"/>
              </w:rPr>
              <w:t>HOUS5 – Residential Care Accommodation</w:t>
            </w:r>
          </w:p>
        </w:tc>
        <w:tc>
          <w:tcPr>
            <w:tcW w:w="7513" w:type="dxa"/>
            <w:tcBorders>
              <w:top w:val="single" w:sz="4" w:space="0" w:color="auto"/>
              <w:bottom w:val="single" w:sz="4" w:space="0" w:color="auto"/>
            </w:tcBorders>
          </w:tcPr>
          <w:p w14:paraId="644137AC" w14:textId="43DD6978" w:rsidR="000F0282" w:rsidRPr="00860226" w:rsidRDefault="000F0282" w:rsidP="000F0282">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Pr>
                <w:rFonts w:asciiTheme="minorHAnsi" w:eastAsiaTheme="minorHAnsi" w:hAnsiTheme="minorHAnsi" w:cstheme="minorHAnsi"/>
                <w:color w:val="auto"/>
                <w:sz w:val="18"/>
                <w:szCs w:val="18"/>
                <w:lang w:eastAsia="en-US"/>
              </w:rPr>
              <w:t xml:space="preserve">This policy sets out requirements for </w:t>
            </w:r>
            <w:r w:rsidR="00860226" w:rsidRPr="00860226">
              <w:rPr>
                <w:rFonts w:asciiTheme="minorHAnsi" w:eastAsiaTheme="minorHAnsi" w:hAnsiTheme="minorHAnsi" w:cstheme="minorHAnsi"/>
                <w:color w:val="auto"/>
                <w:sz w:val="18"/>
                <w:szCs w:val="18"/>
                <w:lang w:eastAsia="en-US"/>
              </w:rPr>
              <w:t xml:space="preserve">new care accommodation and major extensions to existing </w:t>
            </w:r>
            <w:r>
              <w:rPr>
                <w:rFonts w:asciiTheme="minorHAnsi" w:eastAsiaTheme="minorHAnsi" w:hAnsiTheme="minorHAnsi" w:cstheme="minorHAnsi"/>
                <w:color w:val="auto"/>
                <w:sz w:val="18"/>
                <w:szCs w:val="18"/>
                <w:lang w:eastAsia="en-US"/>
              </w:rPr>
              <w:t xml:space="preserve">residential </w:t>
            </w:r>
            <w:r w:rsidR="00860226" w:rsidRPr="00860226">
              <w:rPr>
                <w:rFonts w:asciiTheme="minorHAnsi" w:eastAsiaTheme="minorHAnsi" w:hAnsiTheme="minorHAnsi" w:cstheme="minorHAnsi"/>
                <w:color w:val="auto"/>
                <w:sz w:val="18"/>
                <w:szCs w:val="18"/>
                <w:lang w:eastAsia="en-US"/>
              </w:rPr>
              <w:t>care</w:t>
            </w:r>
            <w:r w:rsidR="00860226">
              <w:rPr>
                <w:rFonts w:asciiTheme="minorHAnsi" w:eastAsiaTheme="minorHAnsi" w:hAnsiTheme="minorHAnsi" w:cstheme="minorHAnsi"/>
                <w:color w:val="auto"/>
                <w:sz w:val="18"/>
                <w:szCs w:val="18"/>
                <w:lang w:eastAsia="en-US"/>
              </w:rPr>
              <w:t xml:space="preserve"> </w:t>
            </w:r>
            <w:r w:rsidR="00860226" w:rsidRPr="00860226">
              <w:rPr>
                <w:rFonts w:asciiTheme="minorHAnsi" w:eastAsiaTheme="minorHAnsi" w:hAnsiTheme="minorHAnsi" w:cstheme="minorHAnsi"/>
                <w:color w:val="auto"/>
                <w:sz w:val="18"/>
                <w:szCs w:val="18"/>
                <w:lang w:eastAsia="en-US"/>
              </w:rPr>
              <w:t>homes</w:t>
            </w:r>
            <w:r>
              <w:rPr>
                <w:rFonts w:asciiTheme="minorHAnsi" w:eastAsiaTheme="minorHAnsi" w:hAnsiTheme="minorHAnsi" w:cstheme="minorHAnsi"/>
                <w:color w:val="auto"/>
                <w:sz w:val="18"/>
                <w:szCs w:val="18"/>
                <w:lang w:eastAsia="en-US"/>
              </w:rPr>
              <w:t xml:space="preserve">. Note that </w:t>
            </w:r>
            <w:r w:rsidR="00530AE4">
              <w:rPr>
                <w:rFonts w:asciiTheme="minorHAnsi" w:eastAsiaTheme="minorHAnsi" w:hAnsiTheme="minorHAnsi" w:cstheme="minorHAnsi"/>
                <w:color w:val="auto"/>
                <w:sz w:val="18"/>
                <w:szCs w:val="18"/>
                <w:lang w:eastAsia="en-US"/>
              </w:rPr>
              <w:t>care homes</w:t>
            </w:r>
            <w:r>
              <w:rPr>
                <w:rFonts w:asciiTheme="minorHAnsi" w:eastAsiaTheme="minorHAnsi" w:hAnsiTheme="minorHAnsi" w:cstheme="minorHAnsi"/>
                <w:color w:val="auto"/>
                <w:sz w:val="18"/>
                <w:szCs w:val="18"/>
                <w:lang w:eastAsia="en-US"/>
              </w:rPr>
              <w:t xml:space="preserve"> usually fall under Use Class C2 Residential Institutions and are thus not part of a h</w:t>
            </w:r>
            <w:r w:rsidRPr="00826421">
              <w:rPr>
                <w:rFonts w:eastAsia="SimSun"/>
                <w:sz w:val="18"/>
                <w:szCs w:val="18"/>
                <w:lang w:val="en-US"/>
              </w:rPr>
              <w:t>ousing needs assessment</w:t>
            </w:r>
            <w:r>
              <w:rPr>
                <w:rFonts w:eastAsia="SimSun"/>
                <w:sz w:val="18"/>
                <w:szCs w:val="18"/>
                <w:lang w:val="en-US"/>
              </w:rPr>
              <w:t>, which</w:t>
            </w:r>
            <w:r w:rsidRPr="00826421">
              <w:rPr>
                <w:rFonts w:eastAsia="SimSun"/>
                <w:sz w:val="18"/>
                <w:szCs w:val="18"/>
                <w:lang w:val="en-US"/>
              </w:rPr>
              <w:t xml:space="preserve"> </w:t>
            </w:r>
            <w:r>
              <w:rPr>
                <w:rFonts w:eastAsia="SimSun"/>
                <w:sz w:val="18"/>
                <w:szCs w:val="18"/>
                <w:lang w:val="en-US"/>
              </w:rPr>
              <w:t xml:space="preserve">generally </w:t>
            </w:r>
            <w:r w:rsidRPr="00826421">
              <w:rPr>
                <w:rFonts w:eastAsia="SimSun"/>
                <w:sz w:val="18"/>
                <w:szCs w:val="18"/>
                <w:lang w:val="en-US"/>
              </w:rPr>
              <w:t>covers the need for Use Class C3 (private dwellings)</w:t>
            </w:r>
            <w:r>
              <w:rPr>
                <w:rFonts w:eastAsia="SimSun"/>
                <w:sz w:val="18"/>
                <w:szCs w:val="18"/>
                <w:lang w:val="en-US"/>
              </w:rPr>
              <w:t xml:space="preserve"> only.</w:t>
            </w:r>
            <w:r w:rsidR="00530AE4">
              <w:rPr>
                <w:rFonts w:eastAsia="SimSun"/>
                <w:sz w:val="18"/>
                <w:szCs w:val="18"/>
                <w:lang w:val="en-US"/>
              </w:rPr>
              <w:t xml:space="preserve"> There is no policy within the adopted plan on C3 older persons housing.</w:t>
            </w:r>
          </w:p>
        </w:tc>
      </w:tr>
      <w:tr w:rsidR="00A82210" w:rsidRPr="00E64956" w14:paraId="24953BB3" w14:textId="77777777" w:rsidTr="00A82210">
        <w:trPr>
          <w:cantSplit/>
          <w:trHeight w:val="240"/>
        </w:trPr>
        <w:tc>
          <w:tcPr>
            <w:tcW w:w="2268" w:type="dxa"/>
            <w:tcBorders>
              <w:top w:val="single" w:sz="4" w:space="0" w:color="auto"/>
              <w:bottom w:val="single" w:sz="4" w:space="0" w:color="auto"/>
            </w:tcBorders>
          </w:tcPr>
          <w:p w14:paraId="30816604" w14:textId="4C26A164" w:rsidR="00A82210" w:rsidRDefault="00A82210" w:rsidP="00860226">
            <w:pPr>
              <w:pStyle w:val="Tabletext"/>
              <w:rPr>
                <w:sz w:val="18"/>
                <w:szCs w:val="18"/>
              </w:rPr>
            </w:pPr>
            <w:r>
              <w:rPr>
                <w:sz w:val="18"/>
                <w:szCs w:val="18"/>
              </w:rPr>
              <w:t>ENV12 – The Design and Positioning of Buildings</w:t>
            </w:r>
          </w:p>
        </w:tc>
        <w:tc>
          <w:tcPr>
            <w:tcW w:w="7513" w:type="dxa"/>
            <w:tcBorders>
              <w:top w:val="single" w:sz="4" w:space="0" w:color="auto"/>
              <w:bottom w:val="single" w:sz="4" w:space="0" w:color="auto"/>
            </w:tcBorders>
          </w:tcPr>
          <w:p w14:paraId="6F337826" w14:textId="3B28C3F9" w:rsidR="00A82210" w:rsidRPr="00860226" w:rsidRDefault="00A82210" w:rsidP="00A82210">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A82210">
              <w:rPr>
                <w:rFonts w:asciiTheme="minorHAnsi" w:eastAsiaTheme="minorHAnsi" w:hAnsiTheme="minorHAnsi" w:cstheme="minorHAnsi"/>
                <w:color w:val="auto"/>
                <w:sz w:val="18"/>
                <w:szCs w:val="18"/>
                <w:lang w:eastAsia="en-US"/>
              </w:rPr>
              <w:t>ii) The council will work with stakeholders and the local community to develop an</w:t>
            </w:r>
            <w:r>
              <w:rPr>
                <w:rFonts w:asciiTheme="minorHAnsi" w:eastAsiaTheme="minorHAnsi" w:hAnsiTheme="minorHAnsi" w:cstheme="minorHAnsi"/>
                <w:color w:val="auto"/>
                <w:sz w:val="18"/>
                <w:szCs w:val="18"/>
                <w:lang w:eastAsia="en-US"/>
              </w:rPr>
              <w:t xml:space="preserve"> </w:t>
            </w:r>
            <w:r w:rsidRPr="00A82210">
              <w:rPr>
                <w:rFonts w:asciiTheme="minorHAnsi" w:eastAsiaTheme="minorHAnsi" w:hAnsiTheme="minorHAnsi" w:cstheme="minorHAnsi"/>
                <w:color w:val="auto"/>
                <w:sz w:val="18"/>
                <w:szCs w:val="18"/>
                <w:lang w:eastAsia="en-US"/>
              </w:rPr>
              <w:t>approach for adaptable and accessible homes in accordance with the latest</w:t>
            </w:r>
            <w:r>
              <w:rPr>
                <w:rFonts w:asciiTheme="minorHAnsi" w:eastAsiaTheme="minorHAnsi" w:hAnsiTheme="minorHAnsi" w:cstheme="minorHAnsi"/>
                <w:color w:val="auto"/>
                <w:sz w:val="18"/>
                <w:szCs w:val="18"/>
                <w:lang w:eastAsia="en-US"/>
              </w:rPr>
              <w:t xml:space="preserve"> </w:t>
            </w:r>
            <w:r w:rsidRPr="00A82210">
              <w:rPr>
                <w:rFonts w:asciiTheme="minorHAnsi" w:eastAsiaTheme="minorHAnsi" w:hAnsiTheme="minorHAnsi" w:cstheme="minorHAnsi"/>
                <w:color w:val="auto"/>
                <w:sz w:val="18"/>
                <w:szCs w:val="18"/>
                <w:lang w:eastAsia="en-US"/>
              </w:rPr>
              <w:t>government guidance.</w:t>
            </w:r>
          </w:p>
        </w:tc>
      </w:tr>
    </w:tbl>
    <w:p w14:paraId="6DFDDE99" w14:textId="262DC579" w:rsidR="002C2D5C" w:rsidRPr="00F55A86" w:rsidRDefault="002C2D5C" w:rsidP="00D12F8F">
      <w:pPr>
        <w:pStyle w:val="Source"/>
        <w:ind w:left="0"/>
      </w:pPr>
      <w:r w:rsidRPr="00E64956">
        <w:t>Source:</w:t>
      </w:r>
      <w:r w:rsidR="00F55A86" w:rsidRPr="00F55A86">
        <w:t xml:space="preserve"> West Dorset, Weymouth and Portland Local Plan (2011-2031)</w:t>
      </w:r>
    </w:p>
    <w:p w14:paraId="3F517BCF" w14:textId="54ACB463" w:rsidR="002C2D5C" w:rsidRDefault="002C2D5C" w:rsidP="002C2D5C">
      <w:pPr>
        <w:pStyle w:val="Heading3"/>
        <w:jc w:val="both"/>
      </w:pPr>
      <w:bookmarkStart w:id="57" w:name="_Toc64026784"/>
      <w:r w:rsidRPr="00BC20E6">
        <w:t xml:space="preserve">Policies in the </w:t>
      </w:r>
      <w:r>
        <w:t>emerging l</w:t>
      </w:r>
      <w:r w:rsidRPr="00BC20E6">
        <w:t xml:space="preserve">ocal </w:t>
      </w:r>
      <w:r>
        <w:t>p</w:t>
      </w:r>
      <w:r w:rsidRPr="00BC20E6">
        <w:t>la</w:t>
      </w:r>
      <w:r>
        <w:t>n</w:t>
      </w:r>
      <w:r w:rsidR="003B175A">
        <w:rPr>
          <w:rStyle w:val="FootnoteReference"/>
        </w:rPr>
        <w:footnoteReference w:id="10"/>
      </w:r>
      <w:bookmarkEnd w:id="57"/>
    </w:p>
    <w:p w14:paraId="1EF27D8D" w14:textId="2B46E14E" w:rsidR="002C2D5C" w:rsidRDefault="00BD3E88" w:rsidP="00A82210">
      <w:pPr>
        <w:pStyle w:val="ListNumber"/>
      </w:pPr>
      <w:r>
        <w:t>The emerging Dorset Council Local Plan was published for consultation during the time of writing this HNA, on 18</w:t>
      </w:r>
      <w:r w:rsidRPr="00BD3E88">
        <w:rPr>
          <w:vertAlign w:val="superscript"/>
        </w:rPr>
        <w:t>th</w:t>
      </w:r>
      <w:r>
        <w:t xml:space="preserve"> January 2020.</w:t>
      </w:r>
      <w:r w:rsidR="00B4554B">
        <w:t xml:space="preserve"> Consultation extends for an 8 week period until 15 March 2021.</w:t>
      </w:r>
      <w:r w:rsidR="00295F63">
        <w:t xml:space="preserve"> The new draft plan was published in a number of volumes and appendices. The ones most relevant to this HNA are as follows:</w:t>
      </w:r>
    </w:p>
    <w:p w14:paraId="01ED6293" w14:textId="6C6FDD87" w:rsidR="00295F63" w:rsidRDefault="00295F63" w:rsidP="00295F63">
      <w:pPr>
        <w:pStyle w:val="ListBullet"/>
      </w:pPr>
      <w:r>
        <w:t>Dorset Council Local Plan Options Consultation document – Volume 1 – Strategy and Topics</w:t>
      </w:r>
      <w:r w:rsidR="00EA04D9">
        <w:t xml:space="preserve"> (this part of the plan contains all the policies applicable to the whole local plan area)</w:t>
      </w:r>
      <w:r>
        <w:t xml:space="preserve">; </w:t>
      </w:r>
    </w:p>
    <w:p w14:paraId="012DA29A" w14:textId="5D77B976" w:rsidR="00295F63" w:rsidRDefault="00295F63" w:rsidP="00295F63">
      <w:pPr>
        <w:pStyle w:val="ListBullet"/>
      </w:pPr>
      <w:r>
        <w:t>Dorset Council Local Plan Options Consultation document – Volume 2 – Central Dorset</w:t>
      </w:r>
      <w:r w:rsidR="00851891">
        <w:t xml:space="preserve"> (there are a number of Volume 2s, applying to different geographical areas within Dorset. Weymouth is included in the Central Dorset </w:t>
      </w:r>
      <w:r w:rsidR="00456943">
        <w:t>Volume 2</w:t>
      </w:r>
      <w:r w:rsidR="00851891">
        <w:t xml:space="preserve"> of the Plan</w:t>
      </w:r>
      <w:r w:rsidR="00456943">
        <w:t>)</w:t>
      </w:r>
      <w:r>
        <w:t>;</w:t>
      </w:r>
    </w:p>
    <w:p w14:paraId="519D19FC" w14:textId="773E1E2E" w:rsidR="00CD331C" w:rsidRDefault="00295F63" w:rsidP="00CD331C">
      <w:pPr>
        <w:pStyle w:val="ListBullet"/>
      </w:pPr>
      <w:r>
        <w:t>Dorset Council Local Plan Options Consultation document – Appendices 1-5</w:t>
      </w:r>
      <w:r w:rsidR="00851891">
        <w:t xml:space="preserve"> (</w:t>
      </w:r>
      <w:r w:rsidR="00456943">
        <w:t>Appendix</w:t>
      </w:r>
      <w:r w:rsidR="00851891">
        <w:t xml:space="preserve"> 2 contains the Neighbourhood Plan Housing requirement for Weymouth</w:t>
      </w:r>
      <w:r>
        <w:t>;</w:t>
      </w:r>
      <w:r w:rsidR="00851891">
        <w:t xml:space="preserve"> </w:t>
      </w:r>
      <w:r w:rsidR="00456943">
        <w:t>Appendix</w:t>
      </w:r>
      <w:r w:rsidR="00851891">
        <w:t xml:space="preserve"> 3 contains a list of developable sites including estimated capacity)</w:t>
      </w:r>
      <w:r w:rsidR="00456943">
        <w:t>; and</w:t>
      </w:r>
    </w:p>
    <w:p w14:paraId="395F690C" w14:textId="33E44990" w:rsidR="00295F63" w:rsidRPr="00CD331C" w:rsidRDefault="00295F63" w:rsidP="00EA04D9">
      <w:pPr>
        <w:pStyle w:val="ListBullet"/>
      </w:pPr>
      <w:r w:rsidRPr="00EA04D9">
        <w:t>Dorset Council Local Plan Options Consultation document – Appendix 6 part 1;</w:t>
      </w:r>
      <w:r w:rsidR="00CD331C" w:rsidRPr="00EA04D9">
        <w:t xml:space="preserve"> and Appendix 6 part 2 (Th</w:t>
      </w:r>
      <w:r w:rsidR="00456943">
        <w:t>e</w:t>
      </w:r>
      <w:r w:rsidR="00CD331C" w:rsidRPr="00EA04D9">
        <w:t>s</w:t>
      </w:r>
      <w:r w:rsidR="00456943">
        <w:t>e</w:t>
      </w:r>
      <w:r w:rsidR="00CD331C" w:rsidRPr="00EA04D9">
        <w:t xml:space="preserve"> appendix </w:t>
      </w:r>
      <w:r w:rsidR="00456943">
        <w:t xml:space="preserve">parts </w:t>
      </w:r>
      <w:r w:rsidR="00CD331C" w:rsidRPr="00EA04D9">
        <w:t xml:space="preserve">contain employment allocations and direct a significant amount of employment land towards Weymouth in the hope of creating jobs in the local area; Part 1 of the appendix is a list of allocations and part 2 contains the associated maps). </w:t>
      </w:r>
    </w:p>
    <w:p w14:paraId="57C74F88" w14:textId="504EEB94" w:rsidR="002C2D5C" w:rsidRPr="00E64956" w:rsidRDefault="00AF5895" w:rsidP="00832DE0">
      <w:pPr>
        <w:pStyle w:val="Caption"/>
        <w:tabs>
          <w:tab w:val="left" w:pos="284"/>
        </w:tabs>
        <w:spacing w:before="0" w:line="240" w:lineRule="atLeast"/>
        <w:ind w:left="0"/>
        <w:jc w:val="both"/>
        <w:rPr>
          <w:rFonts w:eastAsiaTheme="minorHAnsi" w:cstheme="minorBidi"/>
          <w:kern w:val="18"/>
          <w:sz w:val="18"/>
          <w:szCs w:val="18"/>
          <w:lang w:eastAsia="en-US"/>
        </w:rPr>
      </w:pPr>
      <w:bookmarkStart w:id="58" w:name="_Hlk34229236"/>
      <w:r>
        <w:rPr>
          <w:rFonts w:eastAsiaTheme="minorHAnsi" w:cstheme="minorBidi"/>
          <w:kern w:val="18"/>
          <w:sz w:val="18"/>
          <w:szCs w:val="18"/>
          <w:lang w:eastAsia="en-US"/>
        </w:rPr>
        <w:t>Table</w:t>
      </w:r>
      <w:r w:rsidR="00F94CB3">
        <w:rPr>
          <w:rFonts w:eastAsiaTheme="minorHAnsi" w:cstheme="minorBidi"/>
          <w:kern w:val="18"/>
          <w:sz w:val="18"/>
          <w:szCs w:val="18"/>
          <w:lang w:eastAsia="en-US"/>
        </w:rPr>
        <w:t xml:space="preserve"> </w:t>
      </w:r>
      <w:r w:rsidR="00BA4C32">
        <w:rPr>
          <w:rFonts w:eastAsiaTheme="minorHAnsi" w:cstheme="minorBidi"/>
          <w:kern w:val="18"/>
          <w:sz w:val="18"/>
          <w:szCs w:val="18"/>
          <w:lang w:eastAsia="en-US"/>
        </w:rPr>
        <w:fldChar w:fldCharType="begin"/>
      </w:r>
      <w:r w:rsidR="00BA4C32">
        <w:rPr>
          <w:rFonts w:eastAsiaTheme="minorHAnsi" w:cstheme="minorBidi"/>
          <w:kern w:val="18"/>
          <w:sz w:val="18"/>
          <w:szCs w:val="18"/>
          <w:lang w:eastAsia="en-US"/>
        </w:rPr>
        <w:instrText xml:space="preserve"> STYLEREF 1 \s </w:instrText>
      </w:r>
      <w:r w:rsidR="00BA4C32">
        <w:rPr>
          <w:rFonts w:eastAsiaTheme="minorHAnsi" w:cstheme="minorBidi"/>
          <w:kern w:val="18"/>
          <w:sz w:val="18"/>
          <w:szCs w:val="18"/>
          <w:lang w:eastAsia="en-US"/>
        </w:rPr>
        <w:fldChar w:fldCharType="separate"/>
      </w:r>
      <w:r w:rsidR="00BA4C32">
        <w:rPr>
          <w:rFonts w:eastAsiaTheme="minorHAnsi" w:cstheme="minorBidi"/>
          <w:noProof/>
          <w:kern w:val="18"/>
          <w:sz w:val="18"/>
          <w:szCs w:val="18"/>
          <w:lang w:eastAsia="en-US"/>
        </w:rPr>
        <w:t>2</w:t>
      </w:r>
      <w:r w:rsidR="00BA4C32">
        <w:rPr>
          <w:rFonts w:eastAsiaTheme="minorHAnsi" w:cstheme="minorBidi"/>
          <w:kern w:val="18"/>
          <w:sz w:val="18"/>
          <w:szCs w:val="18"/>
          <w:lang w:eastAsia="en-US"/>
        </w:rPr>
        <w:fldChar w:fldCharType="end"/>
      </w:r>
      <w:r w:rsidR="00BA4C32">
        <w:rPr>
          <w:rFonts w:eastAsiaTheme="minorHAnsi" w:cstheme="minorBidi"/>
          <w:kern w:val="18"/>
          <w:sz w:val="18"/>
          <w:szCs w:val="18"/>
          <w:lang w:eastAsia="en-US"/>
        </w:rPr>
        <w:noBreakHyphen/>
      </w:r>
      <w:r w:rsidR="00BA4C32">
        <w:rPr>
          <w:rFonts w:eastAsiaTheme="minorHAnsi" w:cstheme="minorBidi"/>
          <w:kern w:val="18"/>
          <w:sz w:val="18"/>
          <w:szCs w:val="18"/>
          <w:lang w:eastAsia="en-US"/>
        </w:rPr>
        <w:fldChar w:fldCharType="begin"/>
      </w:r>
      <w:r w:rsidR="00BA4C32">
        <w:rPr>
          <w:rFonts w:eastAsiaTheme="minorHAnsi" w:cstheme="minorBidi"/>
          <w:kern w:val="18"/>
          <w:sz w:val="18"/>
          <w:szCs w:val="18"/>
          <w:lang w:eastAsia="en-US"/>
        </w:rPr>
        <w:instrText xml:space="preserve"> SEQ Table \* ARABIC \s 1 </w:instrText>
      </w:r>
      <w:r w:rsidR="00BA4C32">
        <w:rPr>
          <w:rFonts w:eastAsiaTheme="minorHAnsi" w:cstheme="minorBidi"/>
          <w:kern w:val="18"/>
          <w:sz w:val="18"/>
          <w:szCs w:val="18"/>
          <w:lang w:eastAsia="en-US"/>
        </w:rPr>
        <w:fldChar w:fldCharType="separate"/>
      </w:r>
      <w:r w:rsidR="00BA4C32">
        <w:rPr>
          <w:rFonts w:eastAsiaTheme="minorHAnsi" w:cstheme="minorBidi"/>
          <w:noProof/>
          <w:kern w:val="18"/>
          <w:sz w:val="18"/>
          <w:szCs w:val="18"/>
          <w:lang w:eastAsia="en-US"/>
        </w:rPr>
        <w:t>3</w:t>
      </w:r>
      <w:r w:rsidR="00BA4C32">
        <w:rPr>
          <w:rFonts w:eastAsiaTheme="minorHAnsi" w:cstheme="minorBidi"/>
          <w:kern w:val="18"/>
          <w:sz w:val="18"/>
          <w:szCs w:val="18"/>
          <w:lang w:eastAsia="en-US"/>
        </w:rPr>
        <w:fldChar w:fldCharType="end"/>
      </w:r>
      <w:r w:rsidR="002C2D5C" w:rsidRPr="00E64956">
        <w:rPr>
          <w:rFonts w:eastAsiaTheme="minorHAnsi" w:cstheme="minorBidi"/>
          <w:kern w:val="18"/>
          <w:sz w:val="18"/>
          <w:szCs w:val="18"/>
          <w:lang w:eastAsia="en-US"/>
        </w:rPr>
        <w:t>: Summary o</w:t>
      </w:r>
      <w:r w:rsidR="00BD3E88">
        <w:rPr>
          <w:rFonts w:eastAsiaTheme="minorHAnsi" w:cstheme="minorBidi"/>
          <w:kern w:val="18"/>
          <w:sz w:val="18"/>
          <w:szCs w:val="18"/>
          <w:lang w:eastAsia="en-US"/>
        </w:rPr>
        <w:t>f emerging Dorset Council Local Plan</w:t>
      </w:r>
      <w:r w:rsidR="002C2D5C" w:rsidRPr="00E64956">
        <w:rPr>
          <w:rFonts w:eastAsiaTheme="minorHAnsi" w:cstheme="minorBidi"/>
          <w:kern w:val="18"/>
          <w:sz w:val="18"/>
          <w:szCs w:val="18"/>
          <w:lang w:eastAsia="en-US"/>
        </w:rPr>
        <w:t xml:space="preserve"> policies having relevance to </w:t>
      </w:r>
      <w:r w:rsidR="0015105E">
        <w:rPr>
          <w:rFonts w:eastAsiaTheme="minorHAnsi" w:cstheme="minorBidi"/>
          <w:kern w:val="18"/>
          <w:sz w:val="18"/>
          <w:szCs w:val="18"/>
          <w:lang w:eastAsia="en-US"/>
        </w:rPr>
        <w:t>Weymouth</w:t>
      </w:r>
      <w:r w:rsidR="002C2D5C" w:rsidRPr="00E64956">
        <w:rPr>
          <w:rFonts w:eastAsiaTheme="minorHAnsi" w:cstheme="minorBidi"/>
          <w:kern w:val="18"/>
          <w:sz w:val="18"/>
          <w:szCs w:val="18"/>
          <w:lang w:eastAsia="en-US"/>
        </w:rPr>
        <w:t xml:space="preserve"> Neighbourhood Plan Housing Needs Assessment</w:t>
      </w:r>
    </w:p>
    <w:tbl>
      <w:tblPr>
        <w:tblStyle w:val="AECOMtable"/>
        <w:tblW w:w="4973" w:type="pct"/>
        <w:tblLayout w:type="fixed"/>
        <w:tblLook w:val="04A0" w:firstRow="1" w:lastRow="0" w:firstColumn="1" w:lastColumn="0" w:noHBand="0" w:noVBand="1"/>
      </w:tblPr>
      <w:tblGrid>
        <w:gridCol w:w="2359"/>
        <w:gridCol w:w="7422"/>
      </w:tblGrid>
      <w:tr w:rsidR="00CD331C" w:rsidRPr="00CD331C" w14:paraId="7538ECA7" w14:textId="77777777" w:rsidTr="00E056D1">
        <w:trPr>
          <w:cnfStyle w:val="100000000000" w:firstRow="1" w:lastRow="0" w:firstColumn="0" w:lastColumn="0" w:oddVBand="0" w:evenVBand="0" w:oddHBand="0" w:evenHBand="0" w:firstRowFirstColumn="0" w:firstRowLastColumn="0" w:lastRowFirstColumn="0" w:lastRowLastColumn="0"/>
          <w:cantSplit/>
          <w:tblHeader/>
        </w:trPr>
        <w:tc>
          <w:tcPr>
            <w:tcW w:w="2359" w:type="dxa"/>
          </w:tcPr>
          <w:p w14:paraId="1442EEEC" w14:textId="59D1845C" w:rsidR="00BD3E88" w:rsidRPr="00CD331C" w:rsidRDefault="00BD3E88" w:rsidP="00BD3E88">
            <w:pPr>
              <w:pStyle w:val="Tabletext"/>
              <w:rPr>
                <w:rFonts w:asciiTheme="minorHAnsi" w:hAnsiTheme="minorHAnsi" w:cstheme="minorHAnsi"/>
                <w:b w:val="0"/>
                <w:color w:val="auto"/>
                <w:sz w:val="18"/>
                <w:szCs w:val="18"/>
              </w:rPr>
            </w:pPr>
            <w:bookmarkStart w:id="59" w:name="_Hlk34229225"/>
            <w:r w:rsidRPr="00CD331C">
              <w:rPr>
                <w:rFonts w:asciiTheme="minorHAnsi" w:hAnsiTheme="minorHAnsi" w:cstheme="minorHAnsi"/>
                <w:color w:val="auto"/>
                <w:sz w:val="18"/>
                <w:szCs w:val="18"/>
              </w:rPr>
              <w:t xml:space="preserve">Emerging Dorset Council Local Plan Regulation 18 Publication </w:t>
            </w:r>
            <w:r w:rsidR="00851891" w:rsidRPr="00CD331C">
              <w:rPr>
                <w:rFonts w:asciiTheme="minorHAnsi" w:hAnsiTheme="minorHAnsi" w:cstheme="minorHAnsi"/>
                <w:color w:val="auto"/>
                <w:sz w:val="18"/>
                <w:szCs w:val="18"/>
              </w:rPr>
              <w:t xml:space="preserve">relevant draft </w:t>
            </w:r>
            <w:r w:rsidRPr="00CD331C">
              <w:rPr>
                <w:rFonts w:asciiTheme="minorHAnsi" w:hAnsiTheme="minorHAnsi" w:cstheme="minorHAnsi"/>
                <w:color w:val="auto"/>
                <w:sz w:val="18"/>
                <w:szCs w:val="18"/>
              </w:rPr>
              <w:t>policy</w:t>
            </w:r>
            <w:r w:rsidR="00063362" w:rsidRPr="00CD331C">
              <w:rPr>
                <w:rFonts w:asciiTheme="minorHAnsi" w:hAnsiTheme="minorHAnsi" w:cstheme="minorHAnsi"/>
                <w:color w:val="auto"/>
                <w:sz w:val="18"/>
                <w:szCs w:val="18"/>
              </w:rPr>
              <w:t xml:space="preserve"> </w:t>
            </w:r>
            <w:r w:rsidR="00851891" w:rsidRPr="00CD331C">
              <w:rPr>
                <w:rFonts w:asciiTheme="minorHAnsi" w:hAnsiTheme="minorHAnsi" w:cstheme="minorHAnsi"/>
                <w:color w:val="auto"/>
                <w:sz w:val="18"/>
                <w:szCs w:val="18"/>
              </w:rPr>
              <w:t>/ supporting text</w:t>
            </w:r>
          </w:p>
        </w:tc>
        <w:tc>
          <w:tcPr>
            <w:tcW w:w="7422" w:type="dxa"/>
          </w:tcPr>
          <w:p w14:paraId="04C0D85C" w14:textId="77777777" w:rsidR="00BD3E88" w:rsidRPr="00CD331C" w:rsidRDefault="00BD3E88" w:rsidP="00C378B2">
            <w:pPr>
              <w:pStyle w:val="Tabletext"/>
              <w:jc w:val="both"/>
              <w:rPr>
                <w:rFonts w:asciiTheme="minorHAnsi" w:hAnsiTheme="minorHAnsi" w:cstheme="minorHAnsi"/>
                <w:color w:val="auto"/>
                <w:sz w:val="18"/>
                <w:szCs w:val="18"/>
              </w:rPr>
            </w:pPr>
            <w:r w:rsidRPr="00CD331C">
              <w:rPr>
                <w:rFonts w:asciiTheme="minorHAnsi" w:hAnsiTheme="minorHAnsi" w:cstheme="minorHAnsi"/>
                <w:color w:val="auto"/>
                <w:sz w:val="18"/>
                <w:szCs w:val="18"/>
              </w:rPr>
              <w:t>Provisions</w:t>
            </w:r>
          </w:p>
        </w:tc>
      </w:tr>
      <w:tr w:rsidR="00CD331C" w:rsidRPr="00CD331C" w14:paraId="1E7077BA" w14:textId="77777777" w:rsidTr="00E056D1">
        <w:trPr>
          <w:cantSplit/>
          <w:trHeight w:val="240"/>
        </w:trPr>
        <w:tc>
          <w:tcPr>
            <w:tcW w:w="2359" w:type="dxa"/>
          </w:tcPr>
          <w:p w14:paraId="25ACFBBC" w14:textId="6BA2FBD2" w:rsidR="0094652C" w:rsidRPr="00CD331C" w:rsidRDefault="0094652C" w:rsidP="0094652C">
            <w:pPr>
              <w:pStyle w:val="Tabletext"/>
              <w:rPr>
                <w:rFonts w:asciiTheme="minorHAnsi" w:hAnsiTheme="minorHAnsi" w:cstheme="minorHAnsi"/>
                <w:color w:val="auto"/>
                <w:sz w:val="18"/>
                <w:szCs w:val="18"/>
              </w:rPr>
            </w:pPr>
            <w:r w:rsidRPr="00CD331C">
              <w:rPr>
                <w:rFonts w:asciiTheme="minorHAnsi" w:hAnsiTheme="minorHAnsi" w:cstheme="minorHAnsi"/>
                <w:color w:val="auto"/>
                <w:sz w:val="18"/>
                <w:szCs w:val="18"/>
              </w:rPr>
              <w:t>Para 2.3.11</w:t>
            </w:r>
          </w:p>
        </w:tc>
        <w:tc>
          <w:tcPr>
            <w:tcW w:w="7422" w:type="dxa"/>
          </w:tcPr>
          <w:p w14:paraId="78423176" w14:textId="476A667D" w:rsidR="0094652C" w:rsidRPr="00CD331C" w:rsidRDefault="0094652C" w:rsidP="00851891">
            <w:pPr>
              <w:autoSpaceDE w:val="0"/>
              <w:autoSpaceDN w:val="0"/>
              <w:adjustRightInd w:val="0"/>
              <w:spacing w:before="0" w:after="0" w:line="240" w:lineRule="auto"/>
              <w:rPr>
                <w:rFonts w:asciiTheme="minorHAnsi" w:hAnsiTheme="minorHAnsi" w:cstheme="minorHAnsi"/>
                <w:color w:val="auto"/>
                <w:sz w:val="18"/>
                <w:szCs w:val="18"/>
              </w:rPr>
            </w:pPr>
            <w:r w:rsidRPr="00CD331C">
              <w:rPr>
                <w:rFonts w:asciiTheme="minorHAnsi" w:eastAsiaTheme="minorHAnsi" w:hAnsiTheme="minorHAnsi" w:cstheme="minorHAnsi"/>
                <w:color w:val="auto"/>
                <w:sz w:val="18"/>
                <w:szCs w:val="18"/>
                <w:lang w:eastAsia="en-US"/>
              </w:rPr>
              <w:t xml:space="preserve">Settlement hierarchy - Tier 1 - Large built-up areas: </w:t>
            </w:r>
            <w:r w:rsidR="00851891" w:rsidRPr="00CD331C">
              <w:rPr>
                <w:rFonts w:asciiTheme="minorHAnsi" w:eastAsiaTheme="minorHAnsi" w:hAnsiTheme="minorHAnsi" w:cstheme="minorHAnsi"/>
                <w:color w:val="auto"/>
                <w:sz w:val="18"/>
                <w:szCs w:val="18"/>
                <w:lang w:eastAsia="en-US"/>
              </w:rPr>
              <w:t>I</w:t>
            </w:r>
            <w:r w:rsidRPr="00CD331C">
              <w:rPr>
                <w:rFonts w:asciiTheme="minorHAnsi" w:eastAsiaTheme="minorHAnsi" w:hAnsiTheme="minorHAnsi" w:cstheme="minorHAnsi"/>
                <w:color w:val="auto"/>
                <w:sz w:val="18"/>
                <w:szCs w:val="18"/>
                <w:lang w:eastAsia="en-US"/>
              </w:rPr>
              <w:t>n western Dorset</w:t>
            </w:r>
            <w:r w:rsidR="00851891" w:rsidRPr="00CD331C">
              <w:rPr>
                <w:rFonts w:asciiTheme="minorHAnsi" w:eastAsiaTheme="minorHAnsi" w:hAnsiTheme="minorHAnsi" w:cstheme="minorHAnsi"/>
                <w:color w:val="auto"/>
                <w:sz w:val="18"/>
                <w:szCs w:val="18"/>
                <w:lang w:eastAsia="en-US"/>
              </w:rPr>
              <w:t xml:space="preserve"> this includes</w:t>
            </w:r>
            <w:r w:rsidRPr="00CD331C">
              <w:rPr>
                <w:rFonts w:asciiTheme="minorHAnsi" w:eastAsiaTheme="minorHAnsi" w:hAnsiTheme="minorHAnsi" w:cstheme="minorHAnsi"/>
                <w:color w:val="auto"/>
                <w:sz w:val="18"/>
                <w:szCs w:val="18"/>
                <w:lang w:eastAsia="en-US"/>
              </w:rPr>
              <w:t xml:space="preserve"> the</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county town of Dorchester and the coastal resort of Weymouth, which is the</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largest urban area in rural Dorset;</w:t>
            </w:r>
          </w:p>
        </w:tc>
      </w:tr>
      <w:tr w:rsidR="00CD331C" w:rsidRPr="00CD331C" w14:paraId="67F7D49A" w14:textId="77777777" w:rsidTr="00E056D1">
        <w:trPr>
          <w:cantSplit/>
          <w:trHeight w:val="240"/>
        </w:trPr>
        <w:tc>
          <w:tcPr>
            <w:tcW w:w="2359" w:type="dxa"/>
          </w:tcPr>
          <w:p w14:paraId="4FA12BDD" w14:textId="6B978278" w:rsidR="00726D50" w:rsidRPr="00CD331C" w:rsidRDefault="00C411CA" w:rsidP="0094652C">
            <w:pPr>
              <w:pStyle w:val="Tabletext"/>
              <w:rPr>
                <w:rFonts w:asciiTheme="minorHAnsi" w:hAnsiTheme="minorHAnsi" w:cstheme="minorHAnsi"/>
                <w:color w:val="auto"/>
                <w:sz w:val="18"/>
                <w:szCs w:val="18"/>
              </w:rPr>
            </w:pPr>
            <w:r w:rsidRPr="00CD331C">
              <w:rPr>
                <w:rFonts w:asciiTheme="minorHAnsi" w:eastAsiaTheme="minorHAnsi" w:hAnsiTheme="minorHAnsi" w:cstheme="minorHAnsi"/>
                <w:color w:val="auto"/>
                <w:sz w:val="18"/>
                <w:szCs w:val="18"/>
                <w:lang w:eastAsia="en-US"/>
              </w:rPr>
              <w:t xml:space="preserve">Draft Policy </w:t>
            </w:r>
            <w:r w:rsidR="00726D50" w:rsidRPr="00CD331C">
              <w:rPr>
                <w:rFonts w:asciiTheme="minorHAnsi" w:eastAsiaTheme="minorHAnsi" w:hAnsiTheme="minorHAnsi" w:cstheme="minorHAnsi"/>
                <w:color w:val="auto"/>
                <w:sz w:val="18"/>
                <w:szCs w:val="18"/>
                <w:lang w:eastAsia="en-US"/>
              </w:rPr>
              <w:t>DEV3: Growth in the central Dorset functional area</w:t>
            </w:r>
          </w:p>
        </w:tc>
        <w:tc>
          <w:tcPr>
            <w:tcW w:w="7422" w:type="dxa"/>
          </w:tcPr>
          <w:p w14:paraId="255BDF85" w14:textId="41D69AFC" w:rsidR="00726D50" w:rsidRPr="00CD331C" w:rsidRDefault="00726D50" w:rsidP="00726D50">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In the central Dorset functional area</w:t>
            </w:r>
            <w:r w:rsidR="00456943">
              <w:rPr>
                <w:rFonts w:asciiTheme="minorHAnsi" w:eastAsiaTheme="minorHAnsi" w:hAnsiTheme="minorHAnsi" w:cstheme="minorHAnsi"/>
                <w:color w:val="auto"/>
                <w:sz w:val="18"/>
                <w:szCs w:val="18"/>
                <w:lang w:eastAsia="en-US"/>
              </w:rPr>
              <w:t>,</w:t>
            </w:r>
            <w:r w:rsidRPr="00CD331C">
              <w:rPr>
                <w:rFonts w:asciiTheme="minorHAnsi" w:eastAsiaTheme="minorHAnsi" w:hAnsiTheme="minorHAnsi" w:cstheme="minorHAnsi"/>
                <w:color w:val="auto"/>
                <w:sz w:val="18"/>
                <w:szCs w:val="18"/>
                <w:lang w:eastAsia="en-US"/>
              </w:rPr>
              <w:t xml:space="preserve"> housing growth will be delivered:</w:t>
            </w:r>
          </w:p>
          <w:p w14:paraId="5A379451" w14:textId="03C75D56" w:rsidR="00726D50" w:rsidRPr="00CD331C" w:rsidRDefault="00726D50" w:rsidP="00851891">
            <w:pPr>
              <w:pStyle w:val="ListParagraph"/>
              <w:numPr>
                <w:ilvl w:val="0"/>
                <w:numId w:val="30"/>
              </w:num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at the county town of Dorchester, including through major urban extensions at</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Poundbury and North of Dorchester;</w:t>
            </w:r>
          </w:p>
          <w:p w14:paraId="7754892F" w14:textId="626FEB8E" w:rsidR="00726D50" w:rsidRPr="00CD331C" w:rsidRDefault="00726D50" w:rsidP="00851891">
            <w:pPr>
              <w:pStyle w:val="ListParagraph"/>
              <w:numPr>
                <w:ilvl w:val="0"/>
                <w:numId w:val="30"/>
              </w:num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at the major coastal resort of Weymouth, including through town centre regeneration</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and a major urban extension at Littlemoor;</w:t>
            </w:r>
          </w:p>
          <w:p w14:paraId="011FCF75" w14:textId="1DA591B8" w:rsidR="00726D50" w:rsidRPr="00CD331C" w:rsidRDefault="00726D50" w:rsidP="00851891">
            <w:pPr>
              <w:pStyle w:val="ListParagraph"/>
              <w:numPr>
                <w:ilvl w:val="0"/>
                <w:numId w:val="30"/>
              </w:num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through regeneration within the settlements on Portland;</w:t>
            </w:r>
          </w:p>
          <w:p w14:paraId="10C15E39" w14:textId="4B7991DA" w:rsidR="00726D50" w:rsidRPr="00CD331C" w:rsidRDefault="00726D50" w:rsidP="00851891">
            <w:pPr>
              <w:pStyle w:val="ListParagraph"/>
              <w:numPr>
                <w:ilvl w:val="0"/>
                <w:numId w:val="30"/>
              </w:num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through the significant expansion of the town of Chickerell and the larger village of</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Crossways / Moreton Station and the smaller-scale expansion of the larger villages of</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Charminster and Puddletown; and</w:t>
            </w:r>
          </w:p>
          <w:p w14:paraId="751CABCD" w14:textId="3AAE3524" w:rsidR="00726D50" w:rsidRPr="00CD331C" w:rsidRDefault="00726D50" w:rsidP="00726D50">
            <w:pPr>
              <w:pStyle w:val="ListParagraph"/>
              <w:numPr>
                <w:ilvl w:val="0"/>
                <w:numId w:val="30"/>
              </w:num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through windfall and infilling within existing settlements defined by local plan or</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neighbourhood plan development boundaries.</w:t>
            </w:r>
          </w:p>
        </w:tc>
      </w:tr>
      <w:tr w:rsidR="00CD331C" w:rsidRPr="00CD331C" w14:paraId="71F7BED1" w14:textId="77777777" w:rsidTr="00E056D1">
        <w:trPr>
          <w:cantSplit/>
          <w:trHeight w:val="240"/>
        </w:trPr>
        <w:tc>
          <w:tcPr>
            <w:tcW w:w="2359" w:type="dxa"/>
          </w:tcPr>
          <w:p w14:paraId="6B33F765" w14:textId="66FD16D4" w:rsidR="00726D50" w:rsidRPr="00CD331C" w:rsidRDefault="00726D50" w:rsidP="0094652C">
            <w:pPr>
              <w:pStyle w:val="Tabletext"/>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Figure 2.6 – Housing supply from allocations at settlements in Dorset’s functional areas</w:t>
            </w:r>
          </w:p>
        </w:tc>
        <w:tc>
          <w:tcPr>
            <w:tcW w:w="7422" w:type="dxa"/>
          </w:tcPr>
          <w:p w14:paraId="43A6D2F4" w14:textId="37DEA1A2" w:rsidR="00726D50" w:rsidRPr="00CD331C" w:rsidRDefault="00726D50" w:rsidP="00726D50">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 xml:space="preserve">Weymouth </w:t>
            </w:r>
            <w:r w:rsidR="00456943">
              <w:rPr>
                <w:rFonts w:asciiTheme="minorHAnsi" w:eastAsiaTheme="minorHAnsi" w:hAnsiTheme="minorHAnsi" w:cstheme="minorHAnsi"/>
                <w:color w:val="auto"/>
                <w:sz w:val="18"/>
                <w:szCs w:val="18"/>
                <w:lang w:eastAsia="en-US"/>
              </w:rPr>
              <w:t>p</w:t>
            </w:r>
            <w:r w:rsidRPr="00CD331C">
              <w:rPr>
                <w:rFonts w:asciiTheme="minorHAnsi" w:eastAsiaTheme="minorHAnsi" w:hAnsiTheme="minorHAnsi" w:cstheme="minorHAnsi"/>
                <w:color w:val="auto"/>
                <w:sz w:val="18"/>
                <w:szCs w:val="18"/>
                <w:lang w:eastAsia="en-US"/>
              </w:rPr>
              <w:t>otential supply of new homes from option sites</w:t>
            </w:r>
            <w:r w:rsidR="00456943">
              <w:rPr>
                <w:rFonts w:asciiTheme="minorHAnsi" w:eastAsiaTheme="minorHAnsi" w:hAnsiTheme="minorHAnsi" w:cstheme="minorHAnsi"/>
                <w:color w:val="auto"/>
                <w:sz w:val="18"/>
                <w:szCs w:val="18"/>
                <w:lang w:eastAsia="en-US"/>
              </w:rPr>
              <w:t xml:space="preserve"> is</w:t>
            </w:r>
            <w:r w:rsidRPr="00CD331C">
              <w:rPr>
                <w:rFonts w:asciiTheme="minorHAnsi" w:eastAsiaTheme="minorHAnsi" w:hAnsiTheme="minorHAnsi" w:cstheme="minorHAnsi"/>
                <w:color w:val="auto"/>
                <w:sz w:val="18"/>
                <w:szCs w:val="18"/>
                <w:lang w:eastAsia="en-US"/>
              </w:rPr>
              <w:t xml:space="preserve"> 550</w:t>
            </w:r>
            <w:r w:rsidR="00456943">
              <w:rPr>
                <w:rFonts w:asciiTheme="minorHAnsi" w:eastAsiaTheme="minorHAnsi" w:hAnsiTheme="minorHAnsi" w:cstheme="minorHAnsi"/>
                <w:color w:val="auto"/>
                <w:sz w:val="18"/>
                <w:szCs w:val="18"/>
                <w:lang w:eastAsia="en-US"/>
              </w:rPr>
              <w:t xml:space="preserve"> units.</w:t>
            </w:r>
          </w:p>
        </w:tc>
      </w:tr>
      <w:tr w:rsidR="00CD331C" w:rsidRPr="00CD331C" w14:paraId="2E9AC336" w14:textId="77777777" w:rsidTr="00E056D1">
        <w:trPr>
          <w:cantSplit/>
          <w:trHeight w:val="240"/>
        </w:trPr>
        <w:tc>
          <w:tcPr>
            <w:tcW w:w="2359" w:type="dxa"/>
          </w:tcPr>
          <w:p w14:paraId="6E83C150" w14:textId="5ABB1015" w:rsidR="00C411CA" w:rsidRPr="00CD331C" w:rsidRDefault="00456943" w:rsidP="0085189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Pr>
                <w:rFonts w:asciiTheme="minorHAnsi" w:eastAsiaTheme="minorHAnsi" w:hAnsiTheme="minorHAnsi" w:cstheme="minorHAnsi"/>
                <w:color w:val="auto"/>
                <w:sz w:val="18"/>
                <w:szCs w:val="18"/>
                <w:lang w:eastAsia="en-US"/>
              </w:rPr>
              <w:t xml:space="preserve">Draft Policy </w:t>
            </w:r>
            <w:r w:rsidR="00C411CA" w:rsidRPr="00CD331C">
              <w:rPr>
                <w:rFonts w:asciiTheme="minorHAnsi" w:eastAsiaTheme="minorHAnsi" w:hAnsiTheme="minorHAnsi" w:cstheme="minorHAnsi"/>
                <w:color w:val="auto"/>
                <w:sz w:val="18"/>
                <w:szCs w:val="18"/>
                <w:lang w:eastAsia="en-US"/>
              </w:rPr>
              <w:t>DEV1: The housing requirement and the need for employment land in</w:t>
            </w:r>
            <w:r w:rsidR="00851891" w:rsidRPr="00CD331C">
              <w:rPr>
                <w:rFonts w:asciiTheme="minorHAnsi" w:eastAsiaTheme="minorHAnsi" w:hAnsiTheme="minorHAnsi" w:cstheme="minorHAnsi"/>
                <w:color w:val="auto"/>
                <w:sz w:val="18"/>
                <w:szCs w:val="18"/>
                <w:lang w:eastAsia="en-US"/>
              </w:rPr>
              <w:t xml:space="preserve"> </w:t>
            </w:r>
            <w:r w:rsidR="00C411CA" w:rsidRPr="00CD331C">
              <w:rPr>
                <w:rFonts w:asciiTheme="minorHAnsi" w:eastAsiaTheme="minorHAnsi" w:hAnsiTheme="minorHAnsi" w:cstheme="minorHAnsi"/>
                <w:color w:val="auto"/>
                <w:sz w:val="18"/>
                <w:szCs w:val="18"/>
                <w:lang w:eastAsia="en-US"/>
              </w:rPr>
              <w:t>Dorset</w:t>
            </w:r>
          </w:p>
        </w:tc>
        <w:tc>
          <w:tcPr>
            <w:tcW w:w="7422" w:type="dxa"/>
          </w:tcPr>
          <w:p w14:paraId="4F9BFF37" w14:textId="504D9F4E" w:rsidR="00C411CA" w:rsidRPr="00CD331C" w:rsidRDefault="00C411CA" w:rsidP="0085189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In the period 2021 to 2038 provision is made for:</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a deliverable supply of housing land to accommodate a minimum of 30,481</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dwellings, which will be delivered at a minimum average annual rate of 1,793</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dwellings per annum</w:t>
            </w:r>
          </w:p>
        </w:tc>
      </w:tr>
      <w:tr w:rsidR="00CD331C" w:rsidRPr="00CD331C" w14:paraId="7347964B" w14:textId="77777777" w:rsidTr="00E056D1">
        <w:trPr>
          <w:cantSplit/>
          <w:trHeight w:val="240"/>
        </w:trPr>
        <w:tc>
          <w:tcPr>
            <w:tcW w:w="2359" w:type="dxa"/>
          </w:tcPr>
          <w:p w14:paraId="1806F65D" w14:textId="136E7825" w:rsidR="00726D50" w:rsidRPr="00CD331C" w:rsidRDefault="00726D50" w:rsidP="0094652C">
            <w:pPr>
              <w:pStyle w:val="Tabletext"/>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Para 2.7.13-14</w:t>
            </w:r>
          </w:p>
        </w:tc>
        <w:tc>
          <w:tcPr>
            <w:tcW w:w="7422" w:type="dxa"/>
          </w:tcPr>
          <w:p w14:paraId="5E2602D5" w14:textId="51D88927" w:rsidR="00726D50" w:rsidRPr="00CD331C" w:rsidRDefault="00726D50" w:rsidP="0085189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Neighbourhood plan sites are specific sites (including allocations) that have been</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identified for development in a ‘made’ or very well</w:t>
            </w:r>
            <w:r w:rsidR="00EA04D9">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advanced neighbourhood plan.</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The housing supply from allocations in neighbourhood plans are included in this</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category. Allocations in future neighbourhood plans will also contribute to this</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source of housing supply.</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At 01 April 2019, it was estimated that there was a supply of 737 net additional</w:t>
            </w:r>
            <w:r w:rsidR="00851891" w:rsidRPr="00CD331C">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homes from neighbourhood plan sites.</w:t>
            </w:r>
          </w:p>
        </w:tc>
      </w:tr>
      <w:tr w:rsidR="00CD331C" w:rsidRPr="00CD331C" w14:paraId="626CC86B" w14:textId="77777777" w:rsidTr="00E056D1">
        <w:trPr>
          <w:cantSplit/>
          <w:trHeight w:val="240"/>
        </w:trPr>
        <w:tc>
          <w:tcPr>
            <w:tcW w:w="2359" w:type="dxa"/>
          </w:tcPr>
          <w:p w14:paraId="1CF57B67" w14:textId="1E878547" w:rsidR="00C411CA" w:rsidRPr="00CD331C" w:rsidRDefault="00C411CA" w:rsidP="0094652C">
            <w:pPr>
              <w:pStyle w:val="Tabletext"/>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Draft Policy DEV9: Neighbourhood plans</w:t>
            </w:r>
          </w:p>
        </w:tc>
        <w:tc>
          <w:tcPr>
            <w:tcW w:w="7422" w:type="dxa"/>
          </w:tcPr>
          <w:p w14:paraId="108BE8C0" w14:textId="7F7932C3" w:rsidR="00C411CA" w:rsidRPr="00CD331C" w:rsidRDefault="00C411CA"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Neighbourhood plans should be prepared</w:t>
            </w:r>
            <w:r w:rsidR="00DC73D8">
              <w:rPr>
                <w:rFonts w:asciiTheme="minorHAnsi" w:eastAsiaTheme="minorHAnsi" w:hAnsiTheme="minorHAnsi" w:cstheme="minorHAnsi"/>
                <w:b/>
                <w:bCs/>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to positively contribute to the local plan vision and strategic priorities and be in</w:t>
            </w:r>
            <w:r w:rsidR="00DC73D8">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general conformity with its strategic policies;</w:t>
            </w:r>
            <w:r w:rsidR="00DC73D8">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to identify the infrastructure needed to support development; and</w:t>
            </w:r>
            <w:r w:rsidR="00DC73D8">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to ensure that the policies and proposals are deliverable.</w:t>
            </w:r>
            <w:r w:rsidR="00DC73D8">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Where provision is made for housing, the housing requirement figure for a neighbourhood</w:t>
            </w:r>
            <w:r w:rsidR="00E056D1">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plan area, set out in appendix 2, should be met and where possible exceeded</w:t>
            </w:r>
            <w:r w:rsidR="00DC73D8">
              <w:rPr>
                <w:rFonts w:asciiTheme="minorHAnsi" w:eastAsiaTheme="minorHAnsi" w:hAnsiTheme="minorHAnsi" w:cstheme="minorHAnsi"/>
                <w:color w:val="auto"/>
                <w:sz w:val="18"/>
                <w:szCs w:val="18"/>
                <w:lang w:eastAsia="en-US"/>
              </w:rPr>
              <w:t xml:space="preserve"> (see below)</w:t>
            </w:r>
            <w:r w:rsidRPr="00CD331C">
              <w:rPr>
                <w:rFonts w:asciiTheme="minorHAnsi" w:eastAsiaTheme="minorHAnsi" w:hAnsiTheme="minorHAnsi" w:cstheme="minorHAnsi"/>
                <w:color w:val="auto"/>
                <w:sz w:val="18"/>
                <w:szCs w:val="18"/>
                <w:lang w:eastAsia="en-US"/>
              </w:rPr>
              <w:t>.</w:t>
            </w:r>
          </w:p>
        </w:tc>
      </w:tr>
      <w:tr w:rsidR="00CD331C" w:rsidRPr="00CD331C" w14:paraId="520651F2" w14:textId="77777777" w:rsidTr="00E056D1">
        <w:trPr>
          <w:cantSplit/>
          <w:trHeight w:val="240"/>
        </w:trPr>
        <w:tc>
          <w:tcPr>
            <w:tcW w:w="2359" w:type="dxa"/>
          </w:tcPr>
          <w:p w14:paraId="7DEACA5B" w14:textId="4B47DEFA" w:rsidR="00C411CA" w:rsidRPr="00CD331C" w:rsidRDefault="00C411CA" w:rsidP="0094652C">
            <w:pPr>
              <w:pStyle w:val="Tabletext"/>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Appendix 2</w:t>
            </w:r>
            <w:r w:rsidR="00851891" w:rsidRPr="00CD331C">
              <w:rPr>
                <w:rFonts w:asciiTheme="minorHAnsi" w:eastAsiaTheme="minorHAnsi" w:hAnsiTheme="minorHAnsi" w:cstheme="minorHAnsi"/>
                <w:color w:val="auto"/>
                <w:sz w:val="18"/>
                <w:szCs w:val="18"/>
                <w:lang w:eastAsia="en-US"/>
              </w:rPr>
              <w:t xml:space="preserve">, </w:t>
            </w:r>
            <w:r w:rsidR="00851891" w:rsidRPr="00CD331C">
              <w:rPr>
                <w:rFonts w:asciiTheme="minorHAnsi" w:hAnsiTheme="minorHAnsi" w:cstheme="minorHAnsi"/>
                <w:color w:val="auto"/>
                <w:sz w:val="18"/>
                <w:szCs w:val="18"/>
              </w:rPr>
              <w:t xml:space="preserve">Table A2: Neighbourhood Plan Housing Requirement </w:t>
            </w:r>
          </w:p>
        </w:tc>
        <w:tc>
          <w:tcPr>
            <w:tcW w:w="7422" w:type="dxa"/>
          </w:tcPr>
          <w:p w14:paraId="2FD97A6E" w14:textId="7C4C9440" w:rsidR="00851891" w:rsidRPr="00CD331C" w:rsidRDefault="00851891" w:rsidP="00851891">
            <w:pPr>
              <w:autoSpaceDE w:val="0"/>
              <w:autoSpaceDN w:val="0"/>
              <w:adjustRightInd w:val="0"/>
              <w:spacing w:before="0" w:after="0" w:line="240" w:lineRule="auto"/>
              <w:rPr>
                <w:rFonts w:asciiTheme="minorHAnsi" w:hAnsiTheme="minorHAnsi" w:cstheme="minorHAnsi"/>
                <w:color w:val="auto"/>
                <w:sz w:val="18"/>
                <w:szCs w:val="18"/>
              </w:rPr>
            </w:pPr>
            <w:r w:rsidRPr="00CD331C">
              <w:rPr>
                <w:rFonts w:asciiTheme="minorHAnsi" w:eastAsiaTheme="minorHAnsi" w:hAnsiTheme="minorHAnsi" w:cstheme="minorHAnsi"/>
                <w:color w:val="auto"/>
                <w:sz w:val="18"/>
                <w:szCs w:val="18"/>
                <w:lang w:eastAsia="en-US"/>
              </w:rPr>
              <w:t xml:space="preserve">Weymouth Total </w:t>
            </w:r>
            <w:r w:rsidRPr="00CD331C">
              <w:rPr>
                <w:rFonts w:asciiTheme="minorHAnsi" w:hAnsiTheme="minorHAnsi" w:cstheme="minorHAnsi"/>
                <w:color w:val="auto"/>
                <w:sz w:val="18"/>
                <w:szCs w:val="18"/>
              </w:rPr>
              <w:t>Neighbourhood Plan Housing Requirement</w:t>
            </w:r>
            <w:r w:rsidR="00E056D1">
              <w:rPr>
                <w:rFonts w:asciiTheme="minorHAnsi" w:hAnsiTheme="minorHAnsi" w:cstheme="minorHAnsi"/>
                <w:color w:val="auto"/>
                <w:sz w:val="18"/>
                <w:szCs w:val="18"/>
              </w:rPr>
              <w:t xml:space="preserve"> is</w:t>
            </w:r>
            <w:r w:rsidRPr="00CD331C">
              <w:rPr>
                <w:rFonts w:asciiTheme="minorHAnsi" w:hAnsiTheme="minorHAnsi" w:cstheme="minorHAnsi"/>
                <w:color w:val="auto"/>
                <w:sz w:val="18"/>
                <w:szCs w:val="18"/>
              </w:rPr>
              <w:t xml:space="preserve"> 3</w:t>
            </w:r>
            <w:r w:rsidR="00CD331C">
              <w:rPr>
                <w:rFonts w:asciiTheme="minorHAnsi" w:hAnsiTheme="minorHAnsi" w:cstheme="minorHAnsi"/>
                <w:color w:val="auto"/>
                <w:sz w:val="18"/>
                <w:szCs w:val="18"/>
              </w:rPr>
              <w:t>,</w:t>
            </w:r>
            <w:r w:rsidRPr="00CD331C">
              <w:rPr>
                <w:rFonts w:asciiTheme="minorHAnsi" w:hAnsiTheme="minorHAnsi" w:cstheme="minorHAnsi"/>
                <w:color w:val="auto"/>
                <w:sz w:val="18"/>
                <w:szCs w:val="18"/>
              </w:rPr>
              <w:t xml:space="preserve">225 </w:t>
            </w:r>
            <w:r w:rsidR="00E056D1">
              <w:rPr>
                <w:rFonts w:asciiTheme="minorHAnsi" w:hAnsiTheme="minorHAnsi" w:cstheme="minorHAnsi"/>
                <w:color w:val="auto"/>
                <w:sz w:val="18"/>
                <w:szCs w:val="18"/>
              </w:rPr>
              <w:t>units.</w:t>
            </w:r>
          </w:p>
          <w:p w14:paraId="3362027D" w14:textId="2CEB9E4A" w:rsidR="00C411CA" w:rsidRPr="00CD331C" w:rsidRDefault="00C411CA" w:rsidP="00C411CA">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p>
        </w:tc>
      </w:tr>
      <w:tr w:rsidR="00E056D1" w:rsidRPr="00CD331C" w14:paraId="19AFE737" w14:textId="77777777" w:rsidTr="00E056D1">
        <w:trPr>
          <w:cantSplit/>
          <w:trHeight w:val="240"/>
        </w:trPr>
        <w:tc>
          <w:tcPr>
            <w:tcW w:w="2359" w:type="dxa"/>
          </w:tcPr>
          <w:p w14:paraId="7F6999F9" w14:textId="206AE0AC" w:rsidR="00E056D1" w:rsidRPr="00CD331C" w:rsidRDefault="00E056D1" w:rsidP="00E056D1">
            <w:pPr>
              <w:pStyle w:val="Tabletext"/>
              <w:rPr>
                <w:rFonts w:asciiTheme="minorHAnsi" w:eastAsiaTheme="minorHAnsi" w:hAnsiTheme="minorHAnsi" w:cstheme="minorHAnsi"/>
                <w:color w:val="auto"/>
                <w:sz w:val="18"/>
                <w:szCs w:val="18"/>
                <w:lang w:eastAsia="en-US"/>
              </w:rPr>
            </w:pPr>
            <w:r w:rsidRPr="00CD331C">
              <w:rPr>
                <w:rFonts w:asciiTheme="minorHAnsi" w:hAnsiTheme="minorHAnsi" w:cstheme="minorHAnsi"/>
                <w:color w:val="auto"/>
                <w:sz w:val="18"/>
                <w:szCs w:val="18"/>
              </w:rPr>
              <w:t xml:space="preserve">Draft Policy </w:t>
            </w:r>
            <w:r w:rsidRPr="00CD331C">
              <w:rPr>
                <w:rFonts w:asciiTheme="minorHAnsi" w:eastAsiaTheme="minorHAnsi" w:hAnsiTheme="minorHAnsi" w:cstheme="minorHAnsi"/>
                <w:color w:val="auto"/>
                <w:sz w:val="18"/>
                <w:szCs w:val="18"/>
                <w:lang w:eastAsia="en-US"/>
              </w:rPr>
              <w:t>HOUS2: Affordable housing, Part I</w:t>
            </w:r>
          </w:p>
        </w:tc>
        <w:tc>
          <w:tcPr>
            <w:tcW w:w="7422" w:type="dxa"/>
          </w:tcPr>
          <w:p w14:paraId="1144DBC6" w14:textId="3F39E8A5"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 xml:space="preserve">Housing on major sites </w:t>
            </w:r>
            <w:r>
              <w:rPr>
                <w:rFonts w:asciiTheme="minorHAnsi" w:eastAsiaTheme="minorHAnsi" w:hAnsiTheme="minorHAnsi" w:cstheme="minorHAnsi"/>
                <w:color w:val="auto"/>
                <w:sz w:val="18"/>
                <w:szCs w:val="18"/>
                <w:lang w:eastAsia="en-US"/>
              </w:rPr>
              <w:t xml:space="preserve">(that is of 10 or more dwellings) </w:t>
            </w:r>
            <w:r w:rsidRPr="00CD331C">
              <w:rPr>
                <w:rFonts w:asciiTheme="minorHAnsi" w:eastAsiaTheme="minorHAnsi" w:hAnsiTheme="minorHAnsi" w:cstheme="minorHAnsi"/>
                <w:color w:val="auto"/>
                <w:sz w:val="18"/>
                <w:szCs w:val="18"/>
                <w:lang w:eastAsia="en-US"/>
              </w:rPr>
              <w:t>and sites of 5 to 9 net additional dwellings in</w:t>
            </w:r>
            <w:r>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‘designated rural areas’ will contribute to the provision of affordable housing.</w:t>
            </w:r>
          </w:p>
        </w:tc>
      </w:tr>
      <w:tr w:rsidR="00E056D1" w:rsidRPr="00CD331C" w14:paraId="05003DE3" w14:textId="77777777" w:rsidTr="00E056D1">
        <w:trPr>
          <w:cantSplit/>
          <w:trHeight w:val="240"/>
        </w:trPr>
        <w:tc>
          <w:tcPr>
            <w:tcW w:w="2359" w:type="dxa"/>
          </w:tcPr>
          <w:p w14:paraId="69FCF68B" w14:textId="219C6B3A" w:rsidR="00E056D1" w:rsidRPr="00CD331C" w:rsidRDefault="00E056D1" w:rsidP="00E056D1">
            <w:pPr>
              <w:pStyle w:val="Tabletext"/>
              <w:rPr>
                <w:rFonts w:asciiTheme="minorHAnsi" w:hAnsiTheme="minorHAnsi" w:cstheme="minorHAnsi"/>
                <w:color w:val="auto"/>
                <w:sz w:val="18"/>
                <w:szCs w:val="18"/>
              </w:rPr>
            </w:pPr>
            <w:r w:rsidRPr="00CD331C">
              <w:rPr>
                <w:rFonts w:asciiTheme="minorHAnsi" w:hAnsiTheme="minorHAnsi" w:cstheme="minorHAnsi"/>
                <w:color w:val="auto"/>
                <w:sz w:val="18"/>
                <w:szCs w:val="18"/>
              </w:rPr>
              <w:t xml:space="preserve">Draft Policy </w:t>
            </w:r>
            <w:r w:rsidRPr="00CD331C">
              <w:rPr>
                <w:rFonts w:asciiTheme="minorHAnsi" w:eastAsiaTheme="minorHAnsi" w:hAnsiTheme="minorHAnsi" w:cstheme="minorHAnsi"/>
                <w:color w:val="auto"/>
                <w:sz w:val="18"/>
                <w:szCs w:val="18"/>
                <w:lang w:eastAsia="en-US"/>
              </w:rPr>
              <w:t>HOUS2: Affordable housing, Part II and</w:t>
            </w:r>
          </w:p>
          <w:p w14:paraId="23DBBB74" w14:textId="68C85F4D" w:rsidR="00E056D1" w:rsidRPr="00CD331C" w:rsidRDefault="00E056D1" w:rsidP="00E056D1">
            <w:pPr>
              <w:pStyle w:val="Tabletext"/>
              <w:rPr>
                <w:rFonts w:asciiTheme="minorHAnsi" w:hAnsiTheme="minorHAnsi" w:cstheme="minorHAnsi"/>
                <w:color w:val="auto"/>
                <w:sz w:val="18"/>
                <w:szCs w:val="18"/>
              </w:rPr>
            </w:pPr>
            <w:r w:rsidRPr="00CD331C">
              <w:rPr>
                <w:rFonts w:asciiTheme="minorHAnsi" w:hAnsiTheme="minorHAnsi" w:cstheme="minorHAnsi"/>
                <w:color w:val="auto"/>
                <w:sz w:val="18"/>
                <w:szCs w:val="18"/>
              </w:rPr>
              <w:t xml:space="preserve">Figure 4.2 Proportions of affordable housing requirements in the 3 zones </w:t>
            </w:r>
          </w:p>
        </w:tc>
        <w:tc>
          <w:tcPr>
            <w:tcW w:w="7422" w:type="dxa"/>
          </w:tcPr>
          <w:p w14:paraId="066C5E44" w14:textId="0F12B253" w:rsidR="00BE5E4F" w:rsidRPr="00CD331C" w:rsidRDefault="00E056D1" w:rsidP="00BE5E4F">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hAnsiTheme="minorHAnsi" w:cstheme="minorHAnsi"/>
                <w:color w:val="auto"/>
                <w:sz w:val="18"/>
                <w:szCs w:val="18"/>
              </w:rPr>
              <w:t>In Zone 3, which includes Weymouth</w:t>
            </w:r>
            <w:r w:rsidR="00BE5E4F">
              <w:rPr>
                <w:rFonts w:asciiTheme="minorHAnsi" w:hAnsiTheme="minorHAnsi" w:cstheme="minorHAnsi"/>
                <w:color w:val="auto"/>
                <w:sz w:val="18"/>
                <w:szCs w:val="18"/>
              </w:rPr>
              <w:t xml:space="preserve"> Town Centre</w:t>
            </w:r>
            <w:r w:rsidRPr="00CD331C">
              <w:rPr>
                <w:rFonts w:asciiTheme="minorHAnsi" w:hAnsiTheme="minorHAnsi" w:cstheme="minorHAnsi"/>
                <w:color w:val="auto"/>
                <w:sz w:val="18"/>
                <w:szCs w:val="18"/>
              </w:rPr>
              <w:t xml:space="preserve">, there is a stated affordable housing requirement within the range of </w:t>
            </w:r>
            <w:r w:rsidR="00BE5E4F">
              <w:rPr>
                <w:rFonts w:asciiTheme="minorHAnsi" w:hAnsiTheme="minorHAnsi" w:cstheme="minorHAnsi"/>
                <w:color w:val="auto"/>
                <w:sz w:val="18"/>
                <w:szCs w:val="18"/>
              </w:rPr>
              <w:t>25</w:t>
            </w:r>
            <w:r w:rsidRPr="00CD331C">
              <w:rPr>
                <w:rFonts w:asciiTheme="minorHAnsi" w:hAnsiTheme="minorHAnsi" w:cstheme="minorHAnsi"/>
                <w:color w:val="auto"/>
                <w:sz w:val="18"/>
                <w:szCs w:val="18"/>
              </w:rPr>
              <w:t xml:space="preserve">%; </w:t>
            </w:r>
            <w:r w:rsidR="00BE5E4F">
              <w:rPr>
                <w:rFonts w:asciiTheme="minorHAnsi" w:eastAsiaTheme="minorHAnsi" w:hAnsiTheme="minorHAnsi" w:cstheme="minorHAnsi"/>
                <w:color w:val="auto"/>
                <w:sz w:val="18"/>
                <w:szCs w:val="18"/>
                <w:lang w:eastAsia="en-US"/>
              </w:rPr>
              <w:t>Zone 2, which applies to the remainder of the NA carries a requirement of 35%.</w:t>
            </w:r>
          </w:p>
          <w:p w14:paraId="56653DC9" w14:textId="1F1A9077" w:rsidR="00E056D1" w:rsidRPr="00CD331C" w:rsidRDefault="00E056D1" w:rsidP="00E056D1">
            <w:pPr>
              <w:autoSpaceDE w:val="0"/>
              <w:autoSpaceDN w:val="0"/>
              <w:adjustRightInd w:val="0"/>
              <w:spacing w:before="0" w:after="0" w:line="240" w:lineRule="auto"/>
              <w:rPr>
                <w:rFonts w:asciiTheme="minorHAnsi" w:hAnsiTheme="minorHAnsi" w:cstheme="minorHAnsi"/>
                <w:color w:val="auto"/>
                <w:sz w:val="18"/>
                <w:szCs w:val="18"/>
              </w:rPr>
            </w:pPr>
            <w:r w:rsidRPr="00CD331C">
              <w:rPr>
                <w:rFonts w:asciiTheme="minorHAnsi" w:eastAsiaTheme="minorHAnsi" w:hAnsiTheme="minorHAnsi" w:cstheme="minorHAnsi"/>
                <w:color w:val="auto"/>
                <w:sz w:val="18"/>
                <w:szCs w:val="18"/>
                <w:lang w:eastAsia="en-US"/>
              </w:rPr>
              <w:t>The exact affordable housing percentages to be sought within each zone will be fixed through a detailed assessment of development viability within each area (Figure 4.2).</w:t>
            </w:r>
            <w:r>
              <w:rPr>
                <w:rFonts w:asciiTheme="minorHAnsi" w:eastAsiaTheme="minorHAnsi" w:hAnsiTheme="minorHAnsi" w:cstheme="minorHAnsi"/>
                <w:color w:val="auto"/>
                <w:sz w:val="18"/>
                <w:szCs w:val="18"/>
                <w:lang w:eastAsia="en-US"/>
              </w:rPr>
              <w:t xml:space="preserve">Figure 4.2 states that </w:t>
            </w:r>
            <w:r w:rsidR="00BE5E4F" w:rsidRPr="00CD331C">
              <w:rPr>
                <w:rFonts w:asciiTheme="minorHAnsi" w:eastAsiaTheme="minorHAnsi" w:hAnsiTheme="minorHAnsi" w:cstheme="minorHAnsi"/>
                <w:color w:val="auto"/>
                <w:sz w:val="18"/>
                <w:szCs w:val="18"/>
                <w:lang w:eastAsia="en-US"/>
              </w:rPr>
              <w:t>2</w:t>
            </w:r>
            <w:r w:rsidR="00BE5E4F">
              <w:rPr>
                <w:rFonts w:asciiTheme="minorHAnsi" w:eastAsiaTheme="minorHAnsi" w:hAnsiTheme="minorHAnsi" w:cstheme="minorHAnsi"/>
                <w:color w:val="auto"/>
                <w:sz w:val="18"/>
                <w:szCs w:val="18"/>
                <w:lang w:eastAsia="en-US"/>
              </w:rPr>
              <w:t>0-30</w:t>
            </w:r>
            <w:r w:rsidRPr="00CD331C">
              <w:rPr>
                <w:rFonts w:asciiTheme="minorHAnsi" w:eastAsiaTheme="minorHAnsi" w:hAnsiTheme="minorHAnsi" w:cstheme="minorHAnsi"/>
                <w:color w:val="auto"/>
                <w:sz w:val="18"/>
                <w:szCs w:val="18"/>
                <w:lang w:eastAsia="en-US"/>
              </w:rPr>
              <w:t>% of the total number of dwellings on sites in Zone 3 should be affordable</w:t>
            </w:r>
            <w:r>
              <w:rPr>
                <w:rFonts w:asciiTheme="minorHAnsi" w:eastAsiaTheme="minorHAnsi" w:hAnsiTheme="minorHAnsi" w:cstheme="minorHAnsi"/>
                <w:color w:val="auto"/>
                <w:sz w:val="18"/>
                <w:szCs w:val="18"/>
                <w:lang w:eastAsia="en-US"/>
              </w:rPr>
              <w:t>,</w:t>
            </w:r>
            <w:r w:rsidR="00BE5E4F">
              <w:rPr>
                <w:rFonts w:asciiTheme="minorHAnsi" w:eastAsiaTheme="minorHAnsi" w:hAnsiTheme="minorHAnsi" w:cstheme="minorHAnsi"/>
                <w:color w:val="auto"/>
                <w:sz w:val="18"/>
                <w:szCs w:val="18"/>
                <w:lang w:eastAsia="en-US"/>
              </w:rPr>
              <w:t xml:space="preserve"> and 30-40% in Zone 2,</w:t>
            </w:r>
            <w:r>
              <w:rPr>
                <w:rFonts w:asciiTheme="minorHAnsi" w:eastAsiaTheme="minorHAnsi" w:hAnsiTheme="minorHAnsi" w:cstheme="minorHAnsi"/>
                <w:color w:val="auto"/>
                <w:sz w:val="18"/>
                <w:szCs w:val="18"/>
                <w:lang w:eastAsia="en-US"/>
              </w:rPr>
              <w:t xml:space="preserve"> referring back to </w:t>
            </w:r>
            <w:r w:rsidRPr="00CD331C">
              <w:rPr>
                <w:rFonts w:asciiTheme="minorHAnsi" w:eastAsiaTheme="minorHAnsi" w:hAnsiTheme="minorHAnsi" w:cstheme="minorHAnsi"/>
                <w:color w:val="auto"/>
                <w:sz w:val="18"/>
                <w:szCs w:val="18"/>
                <w:lang w:eastAsia="en-US"/>
              </w:rPr>
              <w:t>Policy HOUS2.</w:t>
            </w:r>
          </w:p>
        </w:tc>
      </w:tr>
      <w:tr w:rsidR="00E056D1" w:rsidRPr="00CD331C" w14:paraId="794BAB26" w14:textId="77777777" w:rsidTr="00E056D1">
        <w:trPr>
          <w:cantSplit/>
          <w:trHeight w:val="240"/>
        </w:trPr>
        <w:tc>
          <w:tcPr>
            <w:tcW w:w="2359" w:type="dxa"/>
            <w:tcBorders>
              <w:top w:val="single" w:sz="4" w:space="0" w:color="auto"/>
              <w:bottom w:val="single" w:sz="4" w:space="0" w:color="auto"/>
            </w:tcBorders>
          </w:tcPr>
          <w:p w14:paraId="2A8D0694" w14:textId="7F66B9C2" w:rsidR="00E056D1" w:rsidRPr="00CD331C" w:rsidRDefault="00E056D1" w:rsidP="00E056D1">
            <w:pPr>
              <w:pStyle w:val="Tabletext"/>
              <w:rPr>
                <w:rFonts w:asciiTheme="minorHAnsi" w:hAnsiTheme="minorHAnsi" w:cstheme="minorHAnsi"/>
                <w:color w:val="auto"/>
                <w:sz w:val="18"/>
                <w:szCs w:val="18"/>
              </w:rPr>
            </w:pPr>
            <w:r w:rsidRPr="00CD331C">
              <w:rPr>
                <w:rFonts w:asciiTheme="minorHAnsi" w:hAnsiTheme="minorHAnsi" w:cstheme="minorHAnsi"/>
                <w:color w:val="auto"/>
                <w:sz w:val="18"/>
                <w:szCs w:val="18"/>
              </w:rPr>
              <w:t xml:space="preserve">Draft Policy </w:t>
            </w:r>
            <w:r w:rsidRPr="00CD331C">
              <w:rPr>
                <w:rFonts w:asciiTheme="minorHAnsi" w:eastAsiaTheme="minorHAnsi" w:hAnsiTheme="minorHAnsi" w:cstheme="minorHAnsi"/>
                <w:color w:val="auto"/>
                <w:sz w:val="18"/>
                <w:szCs w:val="18"/>
                <w:lang w:eastAsia="en-US"/>
              </w:rPr>
              <w:t>HOUS2: Affordable housing,</w:t>
            </w:r>
            <w:r>
              <w:rPr>
                <w:rFonts w:asciiTheme="minorHAnsi" w:eastAsiaTheme="minorHAnsi" w:hAnsiTheme="minorHAnsi" w:cstheme="minorHAnsi"/>
                <w:color w:val="auto"/>
                <w:sz w:val="18"/>
                <w:szCs w:val="18"/>
                <w:lang w:eastAsia="en-US"/>
              </w:rPr>
              <w:t xml:space="preserve"> Part V </w:t>
            </w:r>
          </w:p>
        </w:tc>
        <w:tc>
          <w:tcPr>
            <w:tcW w:w="7422" w:type="dxa"/>
            <w:tcBorders>
              <w:top w:val="single" w:sz="4" w:space="0" w:color="auto"/>
              <w:bottom w:val="single" w:sz="4" w:space="0" w:color="auto"/>
            </w:tcBorders>
          </w:tcPr>
          <w:p w14:paraId="26ED5110" w14:textId="5F3B2EC5" w:rsidR="00E056D1" w:rsidRPr="00CD331C" w:rsidRDefault="00E056D1" w:rsidP="00530AE4">
            <w:pPr>
              <w:autoSpaceDE w:val="0"/>
              <w:autoSpaceDN w:val="0"/>
              <w:adjustRightInd w:val="0"/>
              <w:spacing w:before="0" w:after="0" w:line="240" w:lineRule="auto"/>
              <w:rPr>
                <w:rFonts w:asciiTheme="minorHAnsi" w:hAnsiTheme="minorHAnsi" w:cstheme="minorHAnsi"/>
                <w:color w:val="auto"/>
                <w:sz w:val="18"/>
                <w:szCs w:val="18"/>
              </w:rPr>
            </w:pPr>
            <w:r w:rsidRPr="0008421F">
              <w:rPr>
                <w:rFonts w:asciiTheme="minorHAnsi" w:eastAsiaTheme="minorHAnsi" w:hAnsiTheme="minorHAnsi" w:cstheme="minorHAnsi"/>
                <w:sz w:val="18"/>
                <w:szCs w:val="18"/>
                <w:lang w:eastAsia="en-US"/>
              </w:rPr>
              <w:t>The affordable homes should be provided at</w:t>
            </w:r>
            <w:r w:rsidR="00530AE4">
              <w:rPr>
                <w:rFonts w:asciiTheme="minorHAnsi" w:eastAsiaTheme="minorHAnsi" w:hAnsiTheme="minorHAnsi" w:cstheme="minorHAnsi"/>
                <w:sz w:val="18"/>
                <w:szCs w:val="18"/>
                <w:lang w:eastAsia="en-US"/>
              </w:rPr>
              <w:t xml:space="preserve"> </w:t>
            </w:r>
            <w:r w:rsidRPr="0008421F">
              <w:rPr>
                <w:rFonts w:asciiTheme="minorHAnsi" w:eastAsiaTheme="minorHAnsi" w:hAnsiTheme="minorHAnsi" w:cstheme="minorHAnsi"/>
                <w:sz w:val="18"/>
                <w:szCs w:val="18"/>
                <w:lang w:eastAsia="en-US"/>
              </w:rPr>
              <w:t>a maximum of 30% (but not less than 10%) affordable home ownership</w:t>
            </w:r>
            <w:r>
              <w:rPr>
                <w:rFonts w:asciiTheme="minorHAnsi" w:eastAsiaTheme="minorHAnsi" w:hAnsiTheme="minorHAnsi" w:cstheme="minorHAnsi"/>
                <w:sz w:val="18"/>
                <w:szCs w:val="18"/>
                <w:lang w:eastAsia="en-US"/>
              </w:rPr>
              <w:t xml:space="preserve"> </w:t>
            </w:r>
            <w:r w:rsidRPr="0008421F">
              <w:rPr>
                <w:rFonts w:asciiTheme="minorHAnsi" w:eastAsiaTheme="minorHAnsi" w:hAnsiTheme="minorHAnsi" w:cstheme="minorHAnsi"/>
                <w:sz w:val="18"/>
                <w:szCs w:val="18"/>
                <w:lang w:eastAsia="en-US"/>
              </w:rPr>
              <w:t>products; a minimum of 30% social rent; and</w:t>
            </w:r>
            <w:r w:rsidR="00530AE4">
              <w:rPr>
                <w:rFonts w:asciiTheme="minorHAnsi" w:eastAsiaTheme="minorHAnsi" w:hAnsiTheme="minorHAnsi" w:cstheme="minorHAnsi"/>
                <w:sz w:val="18"/>
                <w:szCs w:val="18"/>
                <w:lang w:eastAsia="en-US"/>
              </w:rPr>
              <w:t xml:space="preserve"> </w:t>
            </w:r>
            <w:r w:rsidRPr="0008421F">
              <w:rPr>
                <w:rFonts w:asciiTheme="minorHAnsi" w:eastAsiaTheme="minorHAnsi" w:hAnsiTheme="minorHAnsi" w:cstheme="minorHAnsi"/>
                <w:sz w:val="18"/>
                <w:szCs w:val="18"/>
                <w:lang w:eastAsia="en-US"/>
              </w:rPr>
              <w:t>a minimum of 40% affordable rent.</w:t>
            </w:r>
          </w:p>
        </w:tc>
      </w:tr>
      <w:tr w:rsidR="00E056D1" w:rsidRPr="00CD331C" w14:paraId="79AB9A9E" w14:textId="77777777" w:rsidTr="00E056D1">
        <w:trPr>
          <w:cantSplit/>
          <w:trHeight w:val="240"/>
        </w:trPr>
        <w:tc>
          <w:tcPr>
            <w:tcW w:w="2359" w:type="dxa"/>
            <w:tcBorders>
              <w:top w:val="single" w:sz="4" w:space="0" w:color="auto"/>
              <w:bottom w:val="single" w:sz="4" w:space="0" w:color="auto"/>
            </w:tcBorders>
          </w:tcPr>
          <w:p w14:paraId="4DEFFD2C" w14:textId="6C4B851D" w:rsidR="00E056D1" w:rsidRPr="00CD331C" w:rsidRDefault="00E056D1" w:rsidP="00E056D1">
            <w:pPr>
              <w:pStyle w:val="Tabletext"/>
              <w:rPr>
                <w:rFonts w:asciiTheme="minorHAnsi" w:hAnsiTheme="minorHAnsi" w:cstheme="minorHAnsi"/>
                <w:color w:val="auto"/>
                <w:sz w:val="18"/>
                <w:szCs w:val="18"/>
              </w:rPr>
            </w:pPr>
            <w:r w:rsidRPr="00CD331C">
              <w:rPr>
                <w:rFonts w:asciiTheme="minorHAnsi" w:hAnsiTheme="minorHAnsi" w:cstheme="minorHAnsi"/>
                <w:color w:val="auto"/>
                <w:sz w:val="18"/>
                <w:szCs w:val="18"/>
              </w:rPr>
              <w:t xml:space="preserve">Draft Policy </w:t>
            </w:r>
            <w:r w:rsidRPr="00CD331C">
              <w:rPr>
                <w:rFonts w:asciiTheme="minorHAnsi" w:eastAsiaTheme="minorHAnsi" w:hAnsiTheme="minorHAnsi" w:cstheme="minorHAnsi"/>
                <w:color w:val="auto"/>
                <w:sz w:val="18"/>
                <w:szCs w:val="18"/>
                <w:lang w:eastAsia="en-US"/>
              </w:rPr>
              <w:t>HOUS2: Affordable housing, Part VI</w:t>
            </w:r>
          </w:p>
        </w:tc>
        <w:tc>
          <w:tcPr>
            <w:tcW w:w="7422" w:type="dxa"/>
            <w:tcBorders>
              <w:top w:val="single" w:sz="4" w:space="0" w:color="auto"/>
              <w:bottom w:val="single" w:sz="4" w:space="0" w:color="auto"/>
            </w:tcBorders>
          </w:tcPr>
          <w:p w14:paraId="0AD071D4" w14:textId="4015B4AE"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The type, size and mix of affordable housing on a development site should</w:t>
            </w:r>
            <w:r>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help to address the identified and prioritised affordable housing needs in the</w:t>
            </w:r>
            <w:r>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local area, resulting in a balanced community</w:t>
            </w:r>
          </w:p>
        </w:tc>
      </w:tr>
      <w:tr w:rsidR="00E056D1" w:rsidRPr="00CD331C" w14:paraId="713EC987" w14:textId="77777777" w:rsidTr="00E056D1">
        <w:trPr>
          <w:cantSplit/>
          <w:trHeight w:val="240"/>
        </w:trPr>
        <w:tc>
          <w:tcPr>
            <w:tcW w:w="2359" w:type="dxa"/>
            <w:tcBorders>
              <w:top w:val="single" w:sz="4" w:space="0" w:color="auto"/>
              <w:bottom w:val="single" w:sz="4" w:space="0" w:color="auto"/>
            </w:tcBorders>
          </w:tcPr>
          <w:p w14:paraId="6C237D4D" w14:textId="250ED19F" w:rsidR="00E056D1" w:rsidRPr="00CD331C" w:rsidRDefault="00E056D1" w:rsidP="00E056D1">
            <w:pPr>
              <w:pStyle w:val="Tabletext"/>
              <w:rPr>
                <w:rFonts w:asciiTheme="minorHAnsi" w:hAnsiTheme="minorHAnsi" w:cstheme="minorHAnsi"/>
                <w:color w:val="auto"/>
                <w:sz w:val="18"/>
                <w:szCs w:val="18"/>
              </w:rPr>
            </w:pPr>
            <w:r w:rsidRPr="00CD331C">
              <w:rPr>
                <w:rFonts w:asciiTheme="minorHAnsi" w:hAnsiTheme="minorHAnsi" w:cstheme="minorHAnsi"/>
                <w:color w:val="auto"/>
                <w:sz w:val="18"/>
                <w:szCs w:val="18"/>
              </w:rPr>
              <w:t>Draft Policy HOUS3: Affordable housing exception sites</w:t>
            </w:r>
          </w:p>
        </w:tc>
        <w:tc>
          <w:tcPr>
            <w:tcW w:w="7422" w:type="dxa"/>
            <w:tcBorders>
              <w:top w:val="single" w:sz="4" w:space="0" w:color="auto"/>
              <w:bottom w:val="single" w:sz="4" w:space="0" w:color="auto"/>
            </w:tcBorders>
          </w:tcPr>
          <w:p w14:paraId="5A0FD688" w14:textId="77777777"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An affordable housing exception scheme will be permitted if:</w:t>
            </w:r>
          </w:p>
          <w:p w14:paraId="2CA5F6B3" w14:textId="77777777"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I. it is adjoining an existing settlement;</w:t>
            </w:r>
          </w:p>
          <w:p w14:paraId="52EEAB03" w14:textId="05F9FA45"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II. the proposal is capable of meeting an identified local need for affordable</w:t>
            </w:r>
            <w:r>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housing within the settlement, parish or group of parishes where the scheme is</w:t>
            </w:r>
            <w:r>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located, including within the Green Belt, which cannot otherwise be met;</w:t>
            </w:r>
          </w:p>
          <w:p w14:paraId="4E945F45" w14:textId="7241D9B5"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III. the character, scale and design of the scheme is appropriate to the location and</w:t>
            </w:r>
            <w:r>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size of the existing settlement; and</w:t>
            </w:r>
          </w:p>
          <w:p w14:paraId="288AD5F4" w14:textId="5F5B0861"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IV. there are secure arrangements to ensure the homes remain affordable in</w:t>
            </w:r>
            <w:r>
              <w:rPr>
                <w:rFonts w:asciiTheme="minorHAnsi" w:eastAsiaTheme="minorHAnsi" w:hAnsiTheme="minorHAnsi" w:cstheme="minorHAnsi"/>
                <w:color w:val="auto"/>
                <w:sz w:val="18"/>
                <w:szCs w:val="18"/>
                <w:lang w:eastAsia="en-US"/>
              </w:rPr>
              <w:t xml:space="preserve"> </w:t>
            </w:r>
            <w:r w:rsidRPr="00CD331C">
              <w:rPr>
                <w:rFonts w:asciiTheme="minorHAnsi" w:eastAsiaTheme="minorHAnsi" w:hAnsiTheme="minorHAnsi" w:cstheme="minorHAnsi"/>
                <w:color w:val="auto"/>
                <w:sz w:val="18"/>
                <w:szCs w:val="18"/>
                <w:lang w:eastAsia="en-US"/>
              </w:rPr>
              <w:t>perpetuity.</w:t>
            </w:r>
          </w:p>
        </w:tc>
      </w:tr>
      <w:tr w:rsidR="00E056D1" w:rsidRPr="00CD331C" w14:paraId="79626E94" w14:textId="77777777" w:rsidTr="00E056D1">
        <w:trPr>
          <w:cantSplit/>
          <w:trHeight w:val="240"/>
        </w:trPr>
        <w:tc>
          <w:tcPr>
            <w:tcW w:w="2359" w:type="dxa"/>
            <w:tcBorders>
              <w:top w:val="single" w:sz="4" w:space="0" w:color="auto"/>
              <w:bottom w:val="single" w:sz="4" w:space="0" w:color="auto"/>
            </w:tcBorders>
          </w:tcPr>
          <w:p w14:paraId="6DCB9678" w14:textId="6A353991" w:rsidR="00E056D1" w:rsidRPr="00CD331C" w:rsidRDefault="00E056D1" w:rsidP="00E056D1">
            <w:pPr>
              <w:pStyle w:val="Tabletext"/>
              <w:rPr>
                <w:rFonts w:asciiTheme="minorHAnsi" w:hAnsiTheme="minorHAnsi" w:cstheme="minorHAnsi"/>
                <w:color w:val="auto"/>
                <w:sz w:val="18"/>
                <w:szCs w:val="18"/>
              </w:rPr>
            </w:pPr>
            <w:r w:rsidRPr="00CD331C">
              <w:rPr>
                <w:rFonts w:asciiTheme="minorHAnsi" w:eastAsiaTheme="minorHAnsi" w:hAnsiTheme="minorHAnsi" w:cstheme="minorHAnsi"/>
                <w:color w:val="auto"/>
                <w:sz w:val="18"/>
                <w:szCs w:val="18"/>
                <w:lang w:eastAsia="en-US"/>
              </w:rPr>
              <w:t>Draft Policy HOUS4: Specialist purpose built accommodation</w:t>
            </w:r>
          </w:p>
        </w:tc>
        <w:tc>
          <w:tcPr>
            <w:tcW w:w="7422" w:type="dxa"/>
            <w:tcBorders>
              <w:top w:val="single" w:sz="4" w:space="0" w:color="auto"/>
              <w:bottom w:val="single" w:sz="4" w:space="0" w:color="auto"/>
            </w:tcBorders>
          </w:tcPr>
          <w:p w14:paraId="14A757B4" w14:textId="77777777"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Proposals for specialist purpose built accommodation will be supported</w:t>
            </w:r>
          </w:p>
          <w:p w14:paraId="72DC57E6" w14:textId="77777777"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b/>
                <w:bCs/>
                <w:color w:val="auto"/>
                <w:sz w:val="18"/>
                <w:szCs w:val="18"/>
                <w:lang w:eastAsia="en-US"/>
              </w:rPr>
            </w:pPr>
            <w:r w:rsidRPr="00CD331C">
              <w:rPr>
                <w:rFonts w:asciiTheme="minorHAnsi" w:eastAsiaTheme="minorHAnsi" w:hAnsiTheme="minorHAnsi" w:cstheme="minorHAnsi"/>
                <w:color w:val="auto"/>
                <w:sz w:val="18"/>
                <w:szCs w:val="18"/>
                <w:lang w:eastAsia="en-US"/>
              </w:rPr>
              <w:t>where they</w:t>
            </w:r>
            <w:r w:rsidRPr="00CD331C">
              <w:rPr>
                <w:rFonts w:asciiTheme="minorHAnsi" w:eastAsiaTheme="minorHAnsi" w:hAnsiTheme="minorHAnsi" w:cstheme="minorHAnsi"/>
                <w:b/>
                <w:bCs/>
                <w:color w:val="auto"/>
                <w:sz w:val="18"/>
                <w:szCs w:val="18"/>
                <w:lang w:eastAsia="en-US"/>
              </w:rPr>
              <w:t>:</w:t>
            </w:r>
          </w:p>
          <w:p w14:paraId="0A2505A6" w14:textId="3FE1F686"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 respond to an identified need in the immediate area; and</w:t>
            </w:r>
          </w:p>
          <w:p w14:paraId="5CC47FF5" w14:textId="13D62986"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 provide a range of tenures.</w:t>
            </w:r>
          </w:p>
          <w:p w14:paraId="36586D36" w14:textId="332A049C" w:rsidR="00E056D1" w:rsidRPr="00CD331C" w:rsidRDefault="00E056D1" w:rsidP="00E056D1">
            <w:pPr>
              <w:autoSpaceDE w:val="0"/>
              <w:autoSpaceDN w:val="0"/>
              <w:adjustRightInd w:val="0"/>
              <w:spacing w:before="0" w:after="0" w:line="240" w:lineRule="auto"/>
              <w:rPr>
                <w:rFonts w:asciiTheme="minorHAnsi" w:eastAsiaTheme="minorHAnsi" w:hAnsiTheme="minorHAnsi" w:cstheme="minorHAnsi"/>
                <w:color w:val="auto"/>
                <w:sz w:val="18"/>
                <w:szCs w:val="18"/>
                <w:lang w:eastAsia="en-US"/>
              </w:rPr>
            </w:pPr>
            <w:r w:rsidRPr="00CD331C">
              <w:rPr>
                <w:rFonts w:asciiTheme="minorHAnsi" w:eastAsiaTheme="minorHAnsi" w:hAnsiTheme="minorHAnsi" w:cstheme="minorHAnsi"/>
                <w:color w:val="auto"/>
                <w:sz w:val="18"/>
                <w:szCs w:val="18"/>
                <w:lang w:eastAsia="en-US"/>
              </w:rPr>
              <w:t>(Please note there is also a separate policy HOUS5 for complex dementia and nursing care, but this is not applicable to Use Class C3 housing which is the subject of this HNA)</w:t>
            </w:r>
          </w:p>
        </w:tc>
      </w:tr>
    </w:tbl>
    <w:bookmarkEnd w:id="58"/>
    <w:bookmarkEnd w:id="59"/>
    <w:p w14:paraId="0C255079" w14:textId="4FCD0CF9" w:rsidR="007D67D7" w:rsidRDefault="002C2D5C" w:rsidP="00A82210">
      <w:pPr>
        <w:pStyle w:val="ListNumber"/>
        <w:numPr>
          <w:ilvl w:val="0"/>
          <w:numId w:val="0"/>
        </w:numPr>
      </w:pPr>
      <w:r w:rsidRPr="00E64956">
        <w:t xml:space="preserve">Source: </w:t>
      </w:r>
      <w:r w:rsidR="00BD3E88">
        <w:t>Dorset Council Local Plan Regulation 18 Publication January 2021</w:t>
      </w:r>
    </w:p>
    <w:p w14:paraId="509ACA5B" w14:textId="7261B864" w:rsidR="007D67D7" w:rsidRDefault="007D67D7" w:rsidP="007D67D7">
      <w:pPr>
        <w:pStyle w:val="Heading3"/>
        <w:jc w:val="both"/>
      </w:pPr>
      <w:bookmarkStart w:id="60" w:name="_Toc64026785"/>
      <w:r>
        <w:t>Quantity of housing to provide</w:t>
      </w:r>
      <w:bookmarkEnd w:id="60"/>
    </w:p>
    <w:p w14:paraId="7329BAC3" w14:textId="3D5C7FEC" w:rsidR="007D67D7" w:rsidRDefault="007D67D7" w:rsidP="00BA4C32">
      <w:pPr>
        <w:pStyle w:val="ListNumber"/>
      </w:pPr>
      <w:r>
        <w:t>The NPPF 201</w:t>
      </w:r>
      <w:r w:rsidR="00F06D67">
        <w:t>9</w:t>
      </w:r>
      <w:r>
        <w:t xml:space="preserve"> requires, through paragraphs 65 and 66, Local Authorities to provide neighbourhood groups with a definitive or an indicative number of houses to plan for over the Neighbourhood Plan period.</w:t>
      </w:r>
      <w:r w:rsidR="00530AE4">
        <w:t xml:space="preserve"> </w:t>
      </w:r>
      <w:r w:rsidR="00BD3E88">
        <w:t>Dorset Council</w:t>
      </w:r>
      <w:r>
        <w:t xml:space="preserve"> has fulfilled that requirement by providing </w:t>
      </w:r>
      <w:r w:rsidR="0015105E">
        <w:t>Weymouth</w:t>
      </w:r>
      <w:r>
        <w:t xml:space="preserve"> with </w:t>
      </w:r>
      <w:r w:rsidRPr="00BD3E88">
        <w:t>an indicative</w:t>
      </w:r>
      <w:r>
        <w:t xml:space="preserve"> figure of </w:t>
      </w:r>
      <w:r w:rsidR="00BD3E88" w:rsidRPr="00530AE4">
        <w:rPr>
          <w:rFonts w:cstheme="minorHAnsi"/>
          <w:bCs/>
        </w:rPr>
        <w:t>3,225</w:t>
      </w:r>
      <w:r>
        <w:t xml:space="preserve"> dwellings to be accommodated within the </w:t>
      </w:r>
      <w:r w:rsidR="00450792">
        <w:t xml:space="preserve">Neighbourhood </w:t>
      </w:r>
      <w:r>
        <w:t>Plan area by the end of the Plan period.</w:t>
      </w:r>
      <w:r w:rsidR="00D52973">
        <w:rPr>
          <w:rStyle w:val="FootnoteReference"/>
        </w:rPr>
        <w:footnoteReference w:id="11"/>
      </w:r>
    </w:p>
    <w:p w14:paraId="249CC9B9" w14:textId="320EC63D" w:rsidR="007D67D7" w:rsidRDefault="007D67D7" w:rsidP="00A82210">
      <w:pPr>
        <w:pStyle w:val="ListNumber"/>
      </w:pPr>
      <w:r>
        <w:t>Given that the NPPF requirement has already been fulfilled, the question of how many houses to pla</w:t>
      </w:r>
      <w:r w:rsidR="00D52973">
        <w:t xml:space="preserve">n for has been answered. It is therefore </w:t>
      </w:r>
      <w:r>
        <w:t>outside the scope of this Housing Needs Assessment</w:t>
      </w:r>
      <w:r w:rsidR="004442D2">
        <w:t>. T</w:t>
      </w:r>
      <w:r>
        <w:t>he issue of quantity has been excluded from the Research Questions (see Chapter 3 below).</w:t>
      </w:r>
    </w:p>
    <w:p w14:paraId="3A9D2E7F" w14:textId="5D2119B9" w:rsidR="00A1317B" w:rsidRPr="00EA04D9" w:rsidRDefault="00A1317B" w:rsidP="00EA04D9">
      <w:pPr>
        <w:pStyle w:val="ListNumber"/>
      </w:pPr>
      <w:r w:rsidRPr="00EA04D9">
        <w:t>Note that the Government’s August 2020 consultation proposals for ‘Changes to the current planning system’ include a temporary measure to lift the small sites threshold</w:t>
      </w:r>
      <w:r w:rsidR="00B1271E" w:rsidRPr="00EA04D9">
        <w:t xml:space="preserve">. This would mean that on sites of up to 40 or 50 units, developers would not need </w:t>
      </w:r>
      <w:r w:rsidRPr="00EA04D9">
        <w:t>to contribute to Affordable Housing.</w:t>
      </w:r>
      <w:r w:rsidRPr="00530AE4">
        <w:rPr>
          <w:vertAlign w:val="superscript"/>
        </w:rPr>
        <w:footnoteReference w:id="12"/>
      </w:r>
      <w:r w:rsidRPr="00EA04D9">
        <w:t xml:space="preserve"> The purpose of this time-limited change (its duration is currently unknown) is to support small housebuilders as the economy recovers from the impact of Covid-19. </w:t>
      </w:r>
    </w:p>
    <w:p w14:paraId="2BB739A8" w14:textId="0D4CD80B" w:rsidR="00A1317B" w:rsidRPr="00EA04D9" w:rsidRDefault="00A1317B" w:rsidP="00EA04D9">
      <w:pPr>
        <w:pStyle w:val="ListNumber"/>
      </w:pPr>
      <w:r w:rsidRPr="00EA04D9">
        <w:t>It is important to note here</w:t>
      </w:r>
      <w:r w:rsidR="00530AE4">
        <w:t xml:space="preserve"> that </w:t>
      </w:r>
      <w:r w:rsidRPr="00EA04D9">
        <w:t xml:space="preserve">the housing requirement for </w:t>
      </w:r>
      <w:r w:rsidR="0015105E" w:rsidRPr="00EA04D9">
        <w:t>Weymouth</w:t>
      </w:r>
      <w:r w:rsidR="00905B82" w:rsidRPr="00EA04D9">
        <w:t xml:space="preserve"> of 3,225 i</w:t>
      </w:r>
      <w:r w:rsidRPr="00EA04D9">
        <w:t xml:space="preserve">s sufficiently high that even during the period in which this temporary change applies, sufficiently large sites may still be required to deliver Affordable Housing contributions. Turning to the known housing allocations for </w:t>
      </w:r>
      <w:r w:rsidR="0015105E" w:rsidRPr="00EA04D9">
        <w:t>Weymouth</w:t>
      </w:r>
      <w:r w:rsidR="00905B82" w:rsidRPr="00EA04D9">
        <w:t xml:space="preserve"> (for example </w:t>
      </w:r>
      <w:r w:rsidR="008B5568">
        <w:t>WEY2</w:t>
      </w:r>
      <w:r w:rsidR="008B5568" w:rsidRPr="00EA04D9">
        <w:t xml:space="preserve"> </w:t>
      </w:r>
      <w:r w:rsidR="00EA04D9" w:rsidRPr="00EA04D9">
        <w:t xml:space="preserve">– </w:t>
      </w:r>
      <w:r w:rsidR="008B5568">
        <w:t>Weymouth town centre for 400+ units, with consent for 228 units</w:t>
      </w:r>
      <w:r w:rsidR="00EA04D9" w:rsidRPr="00EA04D9">
        <w:rPr>
          <w:rFonts w:eastAsiaTheme="minorHAnsi"/>
        </w:rPr>
        <w:t xml:space="preserve"> included in Volume 2 of the emerging Local Plan</w:t>
      </w:r>
      <w:r w:rsidR="00905B82" w:rsidRPr="00EA04D9">
        <w:t>)</w:t>
      </w:r>
      <w:r w:rsidRPr="00EA04D9">
        <w:t>, it is expected that</w:t>
      </w:r>
      <w:r w:rsidR="00EA04D9" w:rsidRPr="00EA04D9">
        <w:t xml:space="preserve"> at </w:t>
      </w:r>
      <w:r w:rsidR="00530AE4">
        <w:t xml:space="preserve">least </w:t>
      </w:r>
      <w:r w:rsidR="00EA04D9" w:rsidRPr="00EA04D9">
        <w:t xml:space="preserve">some </w:t>
      </w:r>
      <w:r w:rsidRPr="00EA04D9">
        <w:t>sites will meet this threshold.</w:t>
      </w:r>
    </w:p>
    <w:p w14:paraId="0E8CF4DF" w14:textId="78FB0864" w:rsidR="007D67D7" w:rsidRPr="00E64956" w:rsidRDefault="00A1317B" w:rsidP="00BC159D">
      <w:pPr>
        <w:pStyle w:val="ListNumber"/>
      </w:pPr>
      <w:r w:rsidRPr="00FB6784">
        <w:t xml:space="preserve">When the temporary period ends, the Affordable Housing requirement in the NA will revert to the relevant adopted Local Plan policy, which, in this case, requires Affordable Housing contributions on all sites delivering </w:t>
      </w:r>
      <w:r w:rsidR="00B1271E">
        <w:t>more than</w:t>
      </w:r>
      <w:r w:rsidRPr="00FB6784">
        <w:t xml:space="preserve"> </w:t>
      </w:r>
      <w:r w:rsidR="00905B82">
        <w:t xml:space="preserve">1 net additional </w:t>
      </w:r>
      <w:r w:rsidRPr="00FB6784">
        <w:t>dwelling</w:t>
      </w:r>
      <w:r w:rsidR="00BC159D">
        <w:t xml:space="preserve"> (adopted HOUS1)</w:t>
      </w:r>
      <w:r w:rsidR="00905B82">
        <w:t xml:space="preserve">, </w:t>
      </w:r>
      <w:r w:rsidR="00905B82" w:rsidRPr="0008421F">
        <w:t xml:space="preserve">or to the currently emerging policy once this is adopted, which requires affordable housing contributions from all sites delivering at least </w:t>
      </w:r>
      <w:r w:rsidR="00BC159D" w:rsidRPr="0008421F">
        <w:t>10</w:t>
      </w:r>
      <w:r w:rsidR="00905B82" w:rsidRPr="0008421F">
        <w:t xml:space="preserve"> net additional dwellings</w:t>
      </w:r>
      <w:r w:rsidR="00BC159D" w:rsidRPr="0008421F">
        <w:t>, or a minimum of 5 in designated rural areas (emerging HOUS2)</w:t>
      </w:r>
      <w:r w:rsidRPr="0008421F">
        <w:t>.</w:t>
      </w:r>
      <w:r w:rsidRPr="00FB6784">
        <w:t xml:space="preserve"> It is also important to note that this temporary change does not impact sites allocated solely for Affordable Housing, or any Affordable Housing exception sites </w:t>
      </w:r>
      <w:r w:rsidR="005562F7">
        <w:t>identified</w:t>
      </w:r>
      <w:r w:rsidRPr="00FB6784">
        <w:t xml:space="preserve"> in the Local or Neighbourhood Plan. Finally, given that the </w:t>
      </w:r>
      <w:r w:rsidR="0015105E">
        <w:t>Weymouth</w:t>
      </w:r>
      <w:r w:rsidRPr="00FB6784">
        <w:t xml:space="preserve"> Neighbourhood Plan is yet to be made, it is possible that the temporary period will have already elapsed by the time that it comes into force. The neighborhood planners are advised to take note of this proposal as it evolves through the consultation process.</w:t>
      </w:r>
    </w:p>
    <w:bookmarkEnd w:id="0"/>
    <w:p w14:paraId="66CF2154" w14:textId="77777777" w:rsidR="002C2D5C" w:rsidRDefault="002C2D5C" w:rsidP="002C2D5C">
      <w:pPr>
        <w:jc w:val="both"/>
        <w:rPr>
          <w:rFonts w:eastAsiaTheme="majorEastAsia" w:cstheme="majorBidi"/>
          <w:color w:val="00B5E2" w:themeColor="accent1"/>
          <w:sz w:val="30"/>
          <w:szCs w:val="28"/>
          <w:highlight w:val="lightGray"/>
          <w:lang w:val="en-US"/>
        </w:rPr>
      </w:pPr>
      <w:r>
        <w:rPr>
          <w:highlight w:val="lightGray"/>
          <w:lang w:val="en-US"/>
        </w:rPr>
        <w:br w:type="page"/>
      </w:r>
    </w:p>
    <w:p w14:paraId="333E8E8D" w14:textId="77777777" w:rsidR="002C2D5C" w:rsidRPr="003A2EED" w:rsidRDefault="002C2D5C" w:rsidP="002C2D5C">
      <w:pPr>
        <w:pStyle w:val="Heading1"/>
        <w:jc w:val="both"/>
        <w:rPr>
          <w:lang w:val="en-US"/>
        </w:rPr>
      </w:pPr>
      <w:bookmarkStart w:id="61" w:name="_Toc64026786"/>
      <w:r w:rsidRPr="00E80CC8">
        <w:rPr>
          <w:lang w:val="en-US"/>
        </w:rPr>
        <w:t>Approach</w:t>
      </w:r>
      <w:bookmarkEnd w:id="50"/>
      <w:bookmarkEnd w:id="51"/>
      <w:bookmarkEnd w:id="61"/>
    </w:p>
    <w:p w14:paraId="01EF7471" w14:textId="77777777" w:rsidR="002C2D5C" w:rsidRDefault="002C2D5C" w:rsidP="002C2D5C">
      <w:pPr>
        <w:pStyle w:val="Heading2"/>
        <w:jc w:val="both"/>
      </w:pPr>
      <w:bookmarkStart w:id="62" w:name="_Toc64026787"/>
      <w:bookmarkStart w:id="63" w:name="_Hlk34231783"/>
      <w:r w:rsidRPr="00E80CC8">
        <w:t>Research Questions</w:t>
      </w:r>
      <w:bookmarkEnd w:id="62"/>
    </w:p>
    <w:p w14:paraId="5A52D5E3" w14:textId="194FFC3B" w:rsidR="002C2D5C" w:rsidRPr="00747D45" w:rsidRDefault="002C2D5C" w:rsidP="00A82210">
      <w:pPr>
        <w:pStyle w:val="ListNumber"/>
      </w:pPr>
      <w:r w:rsidRPr="00747D45">
        <w:t xml:space="preserve">Research Questions, abbreviated to ‘RQ;’ are formulated at the start of the project through discussion with the neighbourhood group. They serve to direct </w:t>
      </w:r>
      <w:r w:rsidR="004442D2">
        <w:t>the</w:t>
      </w:r>
      <w:r w:rsidR="004442D2" w:rsidRPr="00747D45">
        <w:t xml:space="preserve"> </w:t>
      </w:r>
      <w:r w:rsidRPr="00747D45">
        <w:t>research and provide the structure for the HNA.</w:t>
      </w:r>
    </w:p>
    <w:p w14:paraId="36E44035" w14:textId="0F6E00E6" w:rsidR="002C2D5C" w:rsidRPr="00747D45" w:rsidRDefault="004442D2" w:rsidP="00A82210">
      <w:pPr>
        <w:pStyle w:val="ListNumber"/>
      </w:pPr>
      <w:r>
        <w:t>T</w:t>
      </w:r>
      <w:r w:rsidR="002C2D5C" w:rsidRPr="00747D45">
        <w:t xml:space="preserve">he </w:t>
      </w:r>
      <w:r w:rsidR="00EF383C">
        <w:t xml:space="preserve">three </w:t>
      </w:r>
      <w:r w:rsidR="002C2D5C" w:rsidRPr="00747D45">
        <w:t xml:space="preserve">RQs relevant to this study, as discussed and agreed with </w:t>
      </w:r>
      <w:r w:rsidR="0015105E">
        <w:t>Weymouth</w:t>
      </w:r>
      <w:r>
        <w:t>, are set out below</w:t>
      </w:r>
      <w:r w:rsidR="002C2D5C" w:rsidRPr="00747D45">
        <w:t>.</w:t>
      </w:r>
    </w:p>
    <w:p w14:paraId="1A27739D" w14:textId="454829CC" w:rsidR="002C2D5C" w:rsidRDefault="002C2D5C" w:rsidP="002C2D5C">
      <w:pPr>
        <w:pStyle w:val="Heading3"/>
        <w:jc w:val="both"/>
      </w:pPr>
      <w:bookmarkStart w:id="64" w:name="_Toc64026788"/>
      <w:r w:rsidRPr="00BC20E6">
        <w:t>Tenure</w:t>
      </w:r>
      <w:r w:rsidR="00BB090C">
        <w:t xml:space="preserve"> and A</w:t>
      </w:r>
      <w:r>
        <w:t>ffordability</w:t>
      </w:r>
      <w:bookmarkEnd w:id="64"/>
    </w:p>
    <w:p w14:paraId="52605B3D" w14:textId="77777777" w:rsidR="002C2D5C" w:rsidRPr="00747D45" w:rsidRDefault="002C2D5C" w:rsidP="00A82210">
      <w:pPr>
        <w:pStyle w:val="ListNumber"/>
      </w:pPr>
      <w:r w:rsidRPr="00747D45">
        <w:t>The neighbourhood planning group would like to understand the needs of the community for housing of varying tenures, as well as the relative affordability of those tenures that should be provided to meet local need now and into the future.</w:t>
      </w:r>
    </w:p>
    <w:p w14:paraId="55990AE6" w14:textId="216BD1FB" w:rsidR="002C2D5C" w:rsidRPr="00747D45" w:rsidRDefault="002C2D5C" w:rsidP="00A82210">
      <w:pPr>
        <w:pStyle w:val="ListNumber"/>
      </w:pPr>
      <w:r w:rsidRPr="00747D45">
        <w:t xml:space="preserve">This evidence will allow </w:t>
      </w:r>
      <w:r w:rsidR="0015105E">
        <w:t>Weymouth</w:t>
      </w:r>
      <w:r w:rsidRPr="00747D45">
        <w:t xml:space="preserve"> to establish the right conditions for new development to come forward that is affordable, both in the broader sense of market housing attainable for first-time buyers, and as Affordable Housing for those who may be currently priced out of the market. </w:t>
      </w:r>
    </w:p>
    <w:p w14:paraId="6B440E4A" w14:textId="6C960248" w:rsidR="002C2D5C" w:rsidRPr="00747D45" w:rsidRDefault="005F54A3" w:rsidP="00A82210">
      <w:pPr>
        <w:pStyle w:val="ListNumber"/>
        <w:numPr>
          <w:ilvl w:val="0"/>
          <w:numId w:val="0"/>
        </w:numPr>
        <w:ind w:left="425"/>
      </w:pPr>
      <w:r w:rsidRPr="00747D45">
        <w:t xml:space="preserve">RQ </w:t>
      </w:r>
      <w:r w:rsidR="00BC159D">
        <w:t>1</w:t>
      </w:r>
      <w:r w:rsidR="002C2D5C" w:rsidRPr="00747D45">
        <w:t xml:space="preserve">: What </w:t>
      </w:r>
      <w:r w:rsidR="0030488D">
        <w:t xml:space="preserve">quantity and tenures of </w:t>
      </w:r>
      <w:r w:rsidR="002C2D5C" w:rsidRPr="00747D45">
        <w:t xml:space="preserve">Affordable Housing should be planned for </w:t>
      </w:r>
      <w:r w:rsidR="00F16F43">
        <w:t>over the Neighbourhood Plan p</w:t>
      </w:r>
      <w:r w:rsidR="002C2D5C" w:rsidRPr="00747D45">
        <w:t>eriod?</w:t>
      </w:r>
    </w:p>
    <w:p w14:paraId="2CE52CF0" w14:textId="6BFEC014" w:rsidR="002C2D5C" w:rsidRDefault="00BB090C" w:rsidP="002C2D5C">
      <w:pPr>
        <w:pStyle w:val="Heading3"/>
        <w:jc w:val="both"/>
      </w:pPr>
      <w:bookmarkStart w:id="65" w:name="_Toc64026789"/>
      <w:r>
        <w:t>Type and S</w:t>
      </w:r>
      <w:r w:rsidR="002C2D5C" w:rsidRPr="00BC20E6">
        <w:t>ize</w:t>
      </w:r>
      <w:bookmarkEnd w:id="65"/>
      <w:r w:rsidR="002C2D5C">
        <w:t xml:space="preserve"> </w:t>
      </w:r>
    </w:p>
    <w:p w14:paraId="7CEE3D3C" w14:textId="3A067958" w:rsidR="002C2D5C" w:rsidRPr="00747D45" w:rsidRDefault="002C2D5C" w:rsidP="00A82210">
      <w:pPr>
        <w:pStyle w:val="ListNumber"/>
      </w:pPr>
      <w:r w:rsidRPr="00747D45">
        <w:t xml:space="preserve">The neighbourhood planning group is seeking to determine what size and type of housing would be best suited to the local community. </w:t>
      </w:r>
      <w:r w:rsidR="00BC159D">
        <w:t>One of the specific issues which the group has reported on to AECOM is the presence of a large number of single person households, often male and some of them ex service men in Weymouth, and the need to appropriately and affordably accommodate them.</w:t>
      </w:r>
    </w:p>
    <w:p w14:paraId="5AB01683" w14:textId="762F5883" w:rsidR="002C2D5C" w:rsidRPr="00747D45" w:rsidRDefault="002C2D5C" w:rsidP="00A82210">
      <w:pPr>
        <w:pStyle w:val="ListNumber"/>
      </w:pPr>
      <w:r w:rsidRPr="00747D45">
        <w:t>The aim of this research q</w:t>
      </w:r>
      <w:r w:rsidR="00591064">
        <w:t>uestion is to provide neighbourhood planners</w:t>
      </w:r>
      <w:r w:rsidRPr="00747D45">
        <w:t xml:space="preserve"> with evidence on the types and sizes needed by the local community. This will </w:t>
      </w:r>
      <w:r w:rsidR="004442D2">
        <w:t>help to shape</w:t>
      </w:r>
      <w:r w:rsidR="004442D2" w:rsidRPr="00747D45">
        <w:t xml:space="preserve"> </w:t>
      </w:r>
      <w:r w:rsidRPr="00747D45">
        <w:t>future development</w:t>
      </w:r>
      <w:r w:rsidR="004442D2">
        <w:t xml:space="preserve"> so that it better</w:t>
      </w:r>
      <w:r w:rsidRPr="00747D45">
        <w:t xml:space="preserve"> reflects what residents need.</w:t>
      </w:r>
    </w:p>
    <w:p w14:paraId="6B6E0BCC" w14:textId="451FE523" w:rsidR="002C2D5C" w:rsidRDefault="005F54A3" w:rsidP="00BC159D">
      <w:pPr>
        <w:pStyle w:val="ListNumber"/>
        <w:numPr>
          <w:ilvl w:val="0"/>
          <w:numId w:val="0"/>
        </w:numPr>
        <w:ind w:left="425"/>
        <w:rPr>
          <w:b/>
          <w:i/>
        </w:rPr>
      </w:pPr>
      <w:r w:rsidRPr="00747D45">
        <w:t xml:space="preserve">RQ </w:t>
      </w:r>
      <w:r w:rsidR="00BC159D">
        <w:t>2</w:t>
      </w:r>
      <w:r w:rsidR="002C2D5C" w:rsidRPr="00747D45">
        <w:t xml:space="preserve">: What type (terrace, semi, bungalows, flats and detached) and size (number of </w:t>
      </w:r>
      <w:r w:rsidR="004651D1">
        <w:t>bed</w:t>
      </w:r>
      <w:r w:rsidR="002C2D5C" w:rsidRPr="00747D45">
        <w:t xml:space="preserve">rooms) of housing is appropriate for </w:t>
      </w:r>
      <w:r w:rsidR="005F50BC">
        <w:t>the Plan area</w:t>
      </w:r>
      <w:r w:rsidR="002C2D5C" w:rsidRPr="00747D45">
        <w:t xml:space="preserve"> over the Neighbourhood Plan period?</w:t>
      </w:r>
    </w:p>
    <w:p w14:paraId="77C77BE1" w14:textId="35D505DB" w:rsidR="002C2D5C" w:rsidRDefault="00BB090C" w:rsidP="002C2D5C">
      <w:pPr>
        <w:pStyle w:val="Heading3"/>
        <w:jc w:val="both"/>
      </w:pPr>
      <w:bookmarkStart w:id="66" w:name="_Toc64026790"/>
      <w:r>
        <w:t>Specialist H</w:t>
      </w:r>
      <w:r w:rsidR="002C2D5C" w:rsidRPr="00BC20E6">
        <w:t>ousing</w:t>
      </w:r>
      <w:r>
        <w:t xml:space="preserve"> for </w:t>
      </w:r>
      <w:r w:rsidR="004442D2">
        <w:t>Older People</w:t>
      </w:r>
      <w:bookmarkEnd w:id="66"/>
    </w:p>
    <w:p w14:paraId="7FD647E6" w14:textId="29325408" w:rsidR="002C2D5C" w:rsidRPr="00747D45" w:rsidRDefault="002C2D5C" w:rsidP="00A82210">
      <w:pPr>
        <w:pStyle w:val="ListNumber"/>
      </w:pPr>
      <w:r w:rsidRPr="00747D45">
        <w:t xml:space="preserve">The neighbourhood planning group wishes to ensure that future housing provision takes into account the needs of </w:t>
      </w:r>
      <w:r w:rsidR="004442D2">
        <w:t>older people</w:t>
      </w:r>
      <w:r w:rsidR="00B4554B">
        <w:t xml:space="preserve">, </w:t>
      </w:r>
      <w:r w:rsidR="00FB6C35" w:rsidRPr="00FB6C35">
        <w:t>as</w:t>
      </w:r>
      <w:r w:rsidR="00B4554B" w:rsidRPr="00FB6C35">
        <w:t xml:space="preserve"> Weymouth’s </w:t>
      </w:r>
      <w:r w:rsidR="00FB6C35">
        <w:t>population is aging</w:t>
      </w:r>
      <w:r w:rsidRPr="00747D45">
        <w:t xml:space="preserve">. In terms of housing, the group is particularly interested in how those needs might be met through a variety of solutions – </w:t>
      </w:r>
      <w:r w:rsidR="004442D2">
        <w:t>including mainstream housing which meets the needs of households at all life stages and specialist accommodation which promotes</w:t>
      </w:r>
      <w:r w:rsidRPr="00747D45">
        <w:t xml:space="preserve"> independent living</w:t>
      </w:r>
      <w:r w:rsidR="004442D2">
        <w:t xml:space="preserve"> and access to care and support. </w:t>
      </w:r>
      <w:r w:rsidRPr="00747D45">
        <w:t>There is significant overlap between this area and the question of housing type and size, but this question will specifically address the need for specialised housi</w:t>
      </w:r>
      <w:r w:rsidR="00F16F43">
        <w:t xml:space="preserve">ng for </w:t>
      </w:r>
      <w:r w:rsidR="004442D2">
        <w:t>older people through</w:t>
      </w:r>
      <w:r w:rsidR="00F16F43">
        <w:t xml:space="preserve"> the P</w:t>
      </w:r>
      <w:r w:rsidRPr="00747D45">
        <w:t>lan period.</w:t>
      </w:r>
    </w:p>
    <w:p w14:paraId="5A9141EE" w14:textId="0D6F1CF6" w:rsidR="002C2D5C" w:rsidRDefault="005F54A3" w:rsidP="00A82210">
      <w:pPr>
        <w:pStyle w:val="ListNumber"/>
        <w:numPr>
          <w:ilvl w:val="0"/>
          <w:numId w:val="0"/>
        </w:numPr>
        <w:ind w:left="425"/>
      </w:pPr>
      <w:r w:rsidRPr="00747D45">
        <w:t xml:space="preserve">RQ </w:t>
      </w:r>
      <w:r w:rsidR="00B4554B">
        <w:t>3</w:t>
      </w:r>
      <w:r w:rsidR="002C2D5C" w:rsidRPr="00747D45">
        <w:t xml:space="preserve">: What provision should be made for specialist housing for </w:t>
      </w:r>
      <w:r w:rsidR="0030488D">
        <w:t>older people</w:t>
      </w:r>
      <w:r w:rsidR="002C2D5C" w:rsidRPr="00747D45">
        <w:t xml:space="preserve"> over the Neighbourhood Plan period?</w:t>
      </w:r>
    </w:p>
    <w:p w14:paraId="119B3F93" w14:textId="77777777" w:rsidR="002C2D5C" w:rsidRDefault="002C2D5C" w:rsidP="002C2D5C">
      <w:pPr>
        <w:pStyle w:val="Heading2"/>
        <w:jc w:val="both"/>
      </w:pPr>
      <w:bookmarkStart w:id="67" w:name="_Toc64026791"/>
      <w:r w:rsidRPr="00E858D8">
        <w:t>Relevant Data</w:t>
      </w:r>
      <w:bookmarkEnd w:id="67"/>
    </w:p>
    <w:p w14:paraId="0BE2A466" w14:textId="77777777" w:rsidR="002C2D5C" w:rsidRPr="003A5666" w:rsidRDefault="002C2D5C" w:rsidP="002C2D5C">
      <w:pPr>
        <w:pStyle w:val="Heading3"/>
        <w:jc w:val="both"/>
      </w:pPr>
      <w:bookmarkStart w:id="68" w:name="_Toc533017412"/>
      <w:bookmarkStart w:id="69" w:name="_Toc536797424"/>
      <w:bookmarkStart w:id="70" w:name="_Toc64026792"/>
      <w:r w:rsidRPr="003A5666">
        <w:t xml:space="preserve">Local </w:t>
      </w:r>
      <w:r>
        <w:t>a</w:t>
      </w:r>
      <w:r w:rsidRPr="003A5666">
        <w:t>uthority evidence base</w:t>
      </w:r>
      <w:bookmarkEnd w:id="68"/>
      <w:bookmarkEnd w:id="69"/>
      <w:bookmarkEnd w:id="70"/>
    </w:p>
    <w:p w14:paraId="66CA1B9D" w14:textId="12479DA9" w:rsidR="00CC364C" w:rsidRPr="00CC364C" w:rsidRDefault="002C6C6B" w:rsidP="0012592E">
      <w:pPr>
        <w:pStyle w:val="ListNumber"/>
      </w:pPr>
      <w:bookmarkStart w:id="71" w:name="_Toc533017413"/>
      <w:bookmarkStart w:id="72" w:name="_Toc536797425"/>
      <w:r w:rsidRPr="007D456C">
        <w:t xml:space="preserve">It is appropriate for neighbourhood planners to </w:t>
      </w:r>
      <w:r w:rsidR="002C2D5C" w:rsidRPr="007D456C">
        <w:t>refer to existing needs assessment</w:t>
      </w:r>
      <w:r w:rsidRPr="007D456C">
        <w:t>s</w:t>
      </w:r>
      <w:r w:rsidR="002C2D5C" w:rsidRPr="007D456C">
        <w:t xml:space="preserve"> prepared by the Local Planning Authority (LPA) as a starting point. As </w:t>
      </w:r>
      <w:r w:rsidR="0015105E" w:rsidRPr="007D456C">
        <w:t>Weymouth</w:t>
      </w:r>
      <w:r w:rsidR="002C2D5C" w:rsidRPr="007D456C">
        <w:t xml:space="preserve"> Neighbourhood Area is located within </w:t>
      </w:r>
      <w:r w:rsidR="00B4554B" w:rsidRPr="007D456C">
        <w:t>Dorset Council</w:t>
      </w:r>
      <w:r w:rsidR="002C2D5C" w:rsidRPr="007D456C">
        <w:t xml:space="preserve">’s planning area, we therefore turned to the </w:t>
      </w:r>
      <w:r w:rsidR="007949EC" w:rsidRPr="007D456C">
        <w:t xml:space="preserve">latest </w:t>
      </w:r>
      <w:r w:rsidR="002C2D5C" w:rsidRPr="007D456C">
        <w:t>relevant Strategic Ho</w:t>
      </w:r>
      <w:r w:rsidR="00A20B9B" w:rsidRPr="007D456C">
        <w:t xml:space="preserve">using Market Assessment (SHMA), which is </w:t>
      </w:r>
      <w:r w:rsidR="007D456C" w:rsidRPr="007D456C">
        <w:t>the</w:t>
      </w:r>
      <w:r w:rsidR="00A20B9B" w:rsidRPr="007D456C">
        <w:t xml:space="preserve"> </w:t>
      </w:r>
      <w:r w:rsidR="007D456C" w:rsidRPr="007D456C">
        <w:t>West Dorset and Weymouth &amp; Portland Councils Strategic Housing Market Assessment 2014</w:t>
      </w:r>
      <w:r w:rsidR="007D456C">
        <w:t xml:space="preserve"> Part 1 and 2</w:t>
      </w:r>
      <w:r w:rsidR="007949EC" w:rsidRPr="00CC364C">
        <w:rPr>
          <w:rStyle w:val="FootnoteReference"/>
        </w:rPr>
        <w:footnoteReference w:id="13"/>
      </w:r>
      <w:r w:rsidR="007949EC" w:rsidRPr="00CC364C">
        <w:t xml:space="preserve">. </w:t>
      </w:r>
    </w:p>
    <w:p w14:paraId="0AF3D1FE" w14:textId="0C613B40" w:rsidR="00D07E44" w:rsidRDefault="007949EC" w:rsidP="00A82210">
      <w:pPr>
        <w:pStyle w:val="ListNumber"/>
      </w:pPr>
      <w:r w:rsidRPr="00CC364C">
        <w:rPr>
          <w:color w:val="auto"/>
        </w:rPr>
        <w:t xml:space="preserve">Other relevant documents </w:t>
      </w:r>
      <w:r w:rsidR="00D07E44" w:rsidRPr="00CC364C">
        <w:rPr>
          <w:color w:val="auto"/>
        </w:rPr>
        <w:t xml:space="preserve">originally produced for the SHMA </w:t>
      </w:r>
      <w:r w:rsidRPr="00CC364C">
        <w:rPr>
          <w:color w:val="auto"/>
        </w:rPr>
        <w:t xml:space="preserve">include a summary report for the Dorchester Weymouth Housing Market </w:t>
      </w:r>
      <w:r>
        <w:t>Area (HMA)</w:t>
      </w:r>
      <w:r>
        <w:rPr>
          <w:rStyle w:val="FootnoteReference"/>
        </w:rPr>
        <w:footnoteReference w:id="14"/>
      </w:r>
      <w:r w:rsidR="00D07E44">
        <w:t xml:space="preserve"> and</w:t>
      </w:r>
      <w:r>
        <w:t xml:space="preserve"> a Main Evidence Base document for the two HMAs identified in the SHMA</w:t>
      </w:r>
      <w:r>
        <w:rPr>
          <w:rStyle w:val="FootnoteReference"/>
        </w:rPr>
        <w:footnoteReference w:id="15"/>
      </w:r>
      <w:r w:rsidR="00D07E44">
        <w:t>. However, they were produced in 2008 and are therefore now very out of date. Since the adoption of the current Local Plan in 2015, the Council has also produced a range of housing monitoring data</w:t>
      </w:r>
      <w:r w:rsidR="00D07E44">
        <w:rPr>
          <w:rStyle w:val="FootnoteReference"/>
        </w:rPr>
        <w:t>,</w:t>
      </w:r>
      <w:r w:rsidR="00D07E44">
        <w:t xml:space="preserve"> including a five-year housing land supply report for the Weymouth Housing Market area, published in 2020</w:t>
      </w:r>
      <w:r w:rsidR="00D07E44">
        <w:rPr>
          <w:rStyle w:val="FootnoteReference"/>
        </w:rPr>
        <w:footnoteReference w:id="16"/>
      </w:r>
      <w:r w:rsidR="00D07E44">
        <w:t>. The latter concluded that:</w:t>
      </w:r>
    </w:p>
    <w:p w14:paraId="7A8C0207" w14:textId="5ED3843C" w:rsidR="00D07E44" w:rsidRPr="00F06B2A" w:rsidRDefault="00D07E44" w:rsidP="00F06B2A">
      <w:pPr>
        <w:pStyle w:val="ListBullet"/>
      </w:pPr>
      <w:r w:rsidRPr="00F06B2A">
        <w:t xml:space="preserve">For the period </w:t>
      </w:r>
      <w:r w:rsidR="00B85315">
        <w:t xml:space="preserve">of </w:t>
      </w:r>
      <w:r w:rsidRPr="00F06B2A">
        <w:t xml:space="preserve">2019 to 2024, the councils do not have sufficient supply to meet the </w:t>
      </w:r>
      <w:r w:rsidR="00CF3E87">
        <w:t xml:space="preserve">government’s </w:t>
      </w:r>
      <w:r w:rsidRPr="00F06B2A">
        <w:t>five-year supply requirement</w:t>
      </w:r>
      <w:r w:rsidR="00CF3E87">
        <w:t xml:space="preserve"> and </w:t>
      </w:r>
      <w:r w:rsidRPr="00F06B2A">
        <w:t>can only demonstrate a supply of deliverable sites equivalent to 4.83 years</w:t>
      </w:r>
      <w:r w:rsidR="00CF3E87">
        <w:t>;</w:t>
      </w:r>
    </w:p>
    <w:p w14:paraId="6836B822" w14:textId="2532055C" w:rsidR="00D07E44" w:rsidRPr="00F06B2A" w:rsidRDefault="00CF3E87" w:rsidP="00F06B2A">
      <w:pPr>
        <w:pStyle w:val="ListBullet"/>
      </w:pPr>
      <w:r>
        <w:t>N</w:t>
      </w:r>
      <w:r w:rsidR="00D07E44" w:rsidRPr="00F06B2A">
        <w:t>ew monitoring information for 2018/19 monitoring year</w:t>
      </w:r>
      <w:r>
        <w:t xml:space="preserve"> </w:t>
      </w:r>
      <w:r w:rsidR="00D07E44" w:rsidRPr="00F06B2A">
        <w:t xml:space="preserve">shows a slight worsening of the situation from the previous year mainly due to </w:t>
      </w:r>
      <w:r w:rsidR="00B85315">
        <w:t xml:space="preserve">the </w:t>
      </w:r>
      <w:r w:rsidR="00D07E44" w:rsidRPr="00F06B2A">
        <w:t xml:space="preserve">tougher deliverable site test now </w:t>
      </w:r>
      <w:r>
        <w:t>in</w:t>
      </w:r>
      <w:r w:rsidR="00D07E44" w:rsidRPr="00F06B2A">
        <w:t xml:space="preserve"> the </w:t>
      </w:r>
      <w:r w:rsidR="00F06B2A">
        <w:t>NPPF</w:t>
      </w:r>
      <w:r>
        <w:t>;</w:t>
      </w:r>
      <w:r w:rsidR="00D07E44" w:rsidRPr="00F06B2A">
        <w:t xml:space="preserve"> </w:t>
      </w:r>
    </w:p>
    <w:p w14:paraId="3D7C6600" w14:textId="30F930A8" w:rsidR="00F06B2A" w:rsidRDefault="00D07E44" w:rsidP="00F06B2A">
      <w:pPr>
        <w:pStyle w:val="ListBullet"/>
      </w:pPr>
      <w:r w:rsidRPr="00F06B2A">
        <w:t>The shortfall in supply is marginal with the increase in deliverable planning permissions reflective of the councils’ proactive management of delivery on sites</w:t>
      </w:r>
      <w:r w:rsidR="00CF3E87">
        <w:t>; and</w:t>
      </w:r>
      <w:r w:rsidRPr="00F06B2A">
        <w:t xml:space="preserve"> </w:t>
      </w:r>
    </w:p>
    <w:p w14:paraId="10C9A729" w14:textId="2AB3597A" w:rsidR="002C2D5C" w:rsidRPr="00F06B2A" w:rsidRDefault="00D07E44" w:rsidP="00F06B2A">
      <w:pPr>
        <w:pStyle w:val="ListBullet"/>
      </w:pPr>
      <w:r w:rsidRPr="00F06B2A">
        <w:t xml:space="preserve">The council also recorded a completion level above the target in the monitoring period 2018/19 with 925 completions against the 775 per annum housing target. </w:t>
      </w:r>
    </w:p>
    <w:p w14:paraId="231E9C06" w14:textId="7A4E12C9" w:rsidR="002C2D5C" w:rsidRPr="00747D45" w:rsidRDefault="002C2D5C" w:rsidP="00A82210">
      <w:pPr>
        <w:pStyle w:val="ListNumber"/>
      </w:pPr>
      <w:r w:rsidRPr="00747D45">
        <w:t xml:space="preserve">For the purpose of this HNA, data from </w:t>
      </w:r>
      <w:r w:rsidR="0041602D">
        <w:t>Dorset Council</w:t>
      </w:r>
      <w:r w:rsidRPr="00747D45">
        <w:t>’s own evidence base to support their housing policies has been considered applicable and relevant unless it conflicts with more locally specific and/or more recently</w:t>
      </w:r>
      <w:r w:rsidR="00CF3E87">
        <w:t xml:space="preserve"> </w:t>
      </w:r>
      <w:r w:rsidRPr="00747D45">
        <w:t xml:space="preserve">produced evidence. The housing market evidence draws upon a range of data including population and demographic projections, housing market transactions, and employment scenarios. As such, it contains a number of points of relevance </w:t>
      </w:r>
      <w:r w:rsidR="00B85315">
        <w:t>to</w:t>
      </w:r>
      <w:r w:rsidRPr="00747D45">
        <w:t xml:space="preserve"> determining housing need within </w:t>
      </w:r>
      <w:r w:rsidR="005F50BC">
        <w:t xml:space="preserve">the </w:t>
      </w:r>
      <w:r w:rsidR="00703761">
        <w:t xml:space="preserve">Neighbourhood </w:t>
      </w:r>
      <w:r w:rsidR="005F50BC">
        <w:t>Plan area</w:t>
      </w:r>
      <w:r w:rsidRPr="00747D45">
        <w:t xml:space="preserve"> and has been referenced as appropriate.</w:t>
      </w:r>
    </w:p>
    <w:p w14:paraId="68545AA2" w14:textId="77777777" w:rsidR="002C2D5C" w:rsidRPr="003A5666" w:rsidRDefault="002C2D5C" w:rsidP="002C2D5C">
      <w:pPr>
        <w:pStyle w:val="Heading3"/>
        <w:jc w:val="both"/>
      </w:pPr>
      <w:bookmarkStart w:id="73" w:name="_Toc64026793"/>
      <w:r w:rsidRPr="003A5666">
        <w:t>Other relevant data</w:t>
      </w:r>
      <w:bookmarkEnd w:id="71"/>
      <w:bookmarkEnd w:id="72"/>
      <w:bookmarkEnd w:id="73"/>
    </w:p>
    <w:p w14:paraId="0725EB7F" w14:textId="0AFF3623" w:rsidR="002C2D5C" w:rsidRPr="00747D45" w:rsidRDefault="002C2D5C" w:rsidP="00A82210">
      <w:pPr>
        <w:pStyle w:val="ListNumber"/>
      </w:pPr>
      <w:bookmarkStart w:id="74" w:name="_Toc425332018"/>
      <w:r w:rsidRPr="00747D45">
        <w:t xml:space="preserve">In addition to the </w:t>
      </w:r>
      <w:r w:rsidR="00F06B2A">
        <w:t>Dorset Council</w:t>
      </w:r>
      <w:r w:rsidRPr="00747D45">
        <w:t xml:space="preserve"> evidence base, we have assessed other evidence to ensure our study is robust for the purposes of developing policy at the NP level and is locally specific. This includes data from both Census 2001 and 2011, as well as from a wide range of other data sources, including:</w:t>
      </w:r>
    </w:p>
    <w:p w14:paraId="1B2D90A9" w14:textId="77777777" w:rsidR="002C2D5C" w:rsidRPr="00747D45" w:rsidRDefault="002C2D5C" w:rsidP="00F06B2A">
      <w:pPr>
        <w:pStyle w:val="ListBullet"/>
      </w:pPr>
      <w:r w:rsidRPr="00747D45">
        <w:t>Land Registry data on prices paid for housing within the local market;</w:t>
      </w:r>
    </w:p>
    <w:p w14:paraId="3E13542C" w14:textId="77777777" w:rsidR="002C2D5C" w:rsidRPr="00747D45" w:rsidRDefault="002C2D5C" w:rsidP="00F06B2A">
      <w:pPr>
        <w:pStyle w:val="ListBullet"/>
      </w:pPr>
      <w:r w:rsidRPr="00747D45">
        <w:t>Population and household projections produced by the Office of National Statistics (ONS);</w:t>
      </w:r>
    </w:p>
    <w:p w14:paraId="0690FF58" w14:textId="105E7F83" w:rsidR="002C2D5C" w:rsidRPr="00747D45" w:rsidRDefault="002C2D5C" w:rsidP="00F06B2A">
      <w:pPr>
        <w:pStyle w:val="ListBullet"/>
      </w:pPr>
      <w:r w:rsidRPr="00747D45">
        <w:t xml:space="preserve">Information on current property asking prices, for housing for sale or rent, from </w:t>
      </w:r>
      <w:hyperlink r:id="rId13" w:history="1">
        <w:r w:rsidRPr="00747D45">
          <w:rPr>
            <w:rStyle w:val="Hyperlink"/>
          </w:rPr>
          <w:t>home.co.uk</w:t>
        </w:r>
      </w:hyperlink>
      <w:r w:rsidRPr="00747D45">
        <w:t>;</w:t>
      </w:r>
    </w:p>
    <w:p w14:paraId="3F7DDEA8" w14:textId="66EF8A3A" w:rsidR="002C2D5C" w:rsidRDefault="002C2D5C" w:rsidP="00F06B2A">
      <w:pPr>
        <w:pStyle w:val="ListBullet"/>
      </w:pPr>
      <w:r w:rsidRPr="00747D45">
        <w:t xml:space="preserve">The Housing Learning and Improvement Network (LIN)’s SHOP@ tool for </w:t>
      </w:r>
      <w:r w:rsidR="00691D86">
        <w:t>estimating the</w:t>
      </w:r>
      <w:r w:rsidR="00691D86" w:rsidRPr="00747D45">
        <w:t xml:space="preserve"> </w:t>
      </w:r>
      <w:r w:rsidRPr="00747D45">
        <w:t xml:space="preserve">need for differing types of specialist dwellings for </w:t>
      </w:r>
      <w:r w:rsidR="00691D86">
        <w:t>older</w:t>
      </w:r>
      <w:r w:rsidR="00691D86" w:rsidRPr="00747D45">
        <w:t xml:space="preserve"> </w:t>
      </w:r>
      <w:r w:rsidRPr="00747D45">
        <w:t>people; and</w:t>
      </w:r>
    </w:p>
    <w:p w14:paraId="0E96C4BD" w14:textId="42439259" w:rsidR="00E6108D" w:rsidRPr="00747D45" w:rsidRDefault="00E6108D" w:rsidP="00F06B2A">
      <w:pPr>
        <w:pStyle w:val="ListBullet"/>
      </w:pPr>
      <w:r>
        <w:t>The local authority’s Annual Monitoring Reports and Housing Waiting List.</w:t>
      </w:r>
    </w:p>
    <w:p w14:paraId="5AD3AA79" w14:textId="409BDE00" w:rsidR="002C2D5C" w:rsidRPr="00747D45" w:rsidRDefault="00BB7095" w:rsidP="00BB7095">
      <w:pPr>
        <w:pStyle w:val="ListNumber"/>
      </w:pPr>
      <w:r>
        <w:t>Please note that a</w:t>
      </w:r>
      <w:r w:rsidR="00B85315">
        <w:t xml:space="preserve"> Weymouth</w:t>
      </w:r>
      <w:r>
        <w:t xml:space="preserve"> </w:t>
      </w:r>
      <w:r w:rsidR="002C2D5C" w:rsidRPr="00747D45">
        <w:t xml:space="preserve">Neighbourhood-level survey and consultation work </w:t>
      </w:r>
      <w:r>
        <w:t xml:space="preserve">is still ongoing at the time of writing </w:t>
      </w:r>
      <w:r w:rsidR="00B85315">
        <w:t xml:space="preserve">this HNA </w:t>
      </w:r>
      <w:r>
        <w:t>and was therefore not yet available to AECOM to take into account</w:t>
      </w:r>
      <w:r w:rsidR="002C2D5C" w:rsidRPr="00747D45">
        <w:t>.</w:t>
      </w:r>
    </w:p>
    <w:p w14:paraId="053FBCD3" w14:textId="77777777" w:rsidR="002C2D5C" w:rsidRPr="0067754F" w:rsidRDefault="002C2D5C" w:rsidP="00A82210">
      <w:pPr>
        <w:pStyle w:val="ListNumber"/>
        <w:numPr>
          <w:ilvl w:val="0"/>
          <w:numId w:val="0"/>
        </w:numPr>
        <w:ind w:left="425"/>
      </w:pPr>
      <w:r w:rsidRPr="00BF408F">
        <w:br w:type="page"/>
      </w:r>
    </w:p>
    <w:p w14:paraId="6C5F34A4" w14:textId="2FB12810" w:rsidR="002C2D5C" w:rsidRPr="007C5C1C" w:rsidRDefault="002C2D5C" w:rsidP="002C2D5C">
      <w:pPr>
        <w:pStyle w:val="Heading1"/>
        <w:jc w:val="both"/>
      </w:pPr>
      <w:bookmarkStart w:id="75" w:name="_Toc64026794"/>
      <w:bookmarkStart w:id="76" w:name="_Toc2690283"/>
      <w:bookmarkStart w:id="77" w:name="_Toc425332020"/>
      <w:bookmarkStart w:id="78" w:name="_Toc461696227"/>
      <w:bookmarkEnd w:id="63"/>
      <w:bookmarkEnd w:id="74"/>
      <w:r>
        <w:t xml:space="preserve">RQ </w:t>
      </w:r>
      <w:r w:rsidR="00CF3E87">
        <w:t>1</w:t>
      </w:r>
      <w:r w:rsidR="00D272A0">
        <w:t>:</w:t>
      </w:r>
      <w:r w:rsidRPr="007C5C1C">
        <w:t xml:space="preserve"> </w:t>
      </w:r>
      <w:r>
        <w:t>Tenure</w:t>
      </w:r>
      <w:r w:rsidR="008D4464">
        <w:t xml:space="preserve">, </w:t>
      </w:r>
      <w:r>
        <w:t>Affordability</w:t>
      </w:r>
      <w:r w:rsidR="008D4464">
        <w:t xml:space="preserve"> and the Need for Affordable Housing</w:t>
      </w:r>
      <w:bookmarkEnd w:id="75"/>
    </w:p>
    <w:p w14:paraId="3323DAE4" w14:textId="71F6D271" w:rsidR="002C2D5C" w:rsidRPr="00C378B2" w:rsidRDefault="002C2D5C" w:rsidP="00A82210">
      <w:pPr>
        <w:pStyle w:val="ListNumber"/>
        <w:numPr>
          <w:ilvl w:val="0"/>
          <w:numId w:val="0"/>
        </w:numPr>
        <w:ind w:left="425"/>
      </w:pPr>
      <w:bookmarkStart w:id="79" w:name="_Toc500759108"/>
      <w:r w:rsidRPr="00C378B2">
        <w:t>RQ</w:t>
      </w:r>
      <w:r w:rsidR="00CF3E87">
        <w:t>1</w:t>
      </w:r>
      <w:r w:rsidRPr="00C378B2">
        <w:t>: What Affordable Housing (</w:t>
      </w:r>
      <w:r w:rsidR="000F3D7C">
        <w:t>e</w:t>
      </w:r>
      <w:r w:rsidR="00BA4C32">
        <w:t>.</w:t>
      </w:r>
      <w:r w:rsidR="000F3D7C">
        <w:t>g</w:t>
      </w:r>
      <w:r w:rsidR="00BA4C32">
        <w:t>.</w:t>
      </w:r>
      <w:r w:rsidR="000F3D7C">
        <w:t xml:space="preserve"> </w:t>
      </w:r>
      <w:r w:rsidRPr="00C378B2">
        <w:t>social housing, affordable rented, shared ownership, intermediate rented) and other market tenures should be planned for in the housing m</w:t>
      </w:r>
      <w:r w:rsidR="00F16F43">
        <w:t>ix over the Neighbourhood Plan p</w:t>
      </w:r>
      <w:r w:rsidRPr="00C378B2">
        <w:t>eriod?</w:t>
      </w:r>
    </w:p>
    <w:p w14:paraId="01912BCF" w14:textId="77777777" w:rsidR="002C2D5C" w:rsidRPr="00883E5F" w:rsidRDefault="002C2D5C" w:rsidP="002C2D5C">
      <w:pPr>
        <w:pStyle w:val="Heading2"/>
        <w:keepNext w:val="0"/>
        <w:keepLines w:val="0"/>
        <w:widowControl w:val="0"/>
        <w:ind w:left="993"/>
        <w:jc w:val="both"/>
      </w:pPr>
      <w:bookmarkStart w:id="80" w:name="_Toc64026795"/>
      <w:bookmarkStart w:id="81" w:name="_Hlk21428552"/>
      <w:r w:rsidRPr="00883E5F">
        <w:t>Introduction</w:t>
      </w:r>
      <w:bookmarkEnd w:id="80"/>
    </w:p>
    <w:p w14:paraId="485E8D03" w14:textId="3DDACB88" w:rsidR="002C2D5C" w:rsidRPr="00C378B2" w:rsidRDefault="002C2D5C" w:rsidP="00A82210">
      <w:pPr>
        <w:pStyle w:val="ListNumber"/>
      </w:pPr>
      <w:r w:rsidRPr="00C378B2">
        <w:t>This section examine</w:t>
      </w:r>
      <w:r w:rsidR="002752C6">
        <w:t>s</w:t>
      </w:r>
      <w:r w:rsidRPr="00C378B2">
        <w:t xml:space="preserve"> the tenure of dwellings in the current stock and recent supply. </w:t>
      </w:r>
      <w:r w:rsidR="002752C6">
        <w:t xml:space="preserve"> It then considers the</w:t>
      </w:r>
      <w:r w:rsidRPr="00C378B2">
        <w:t xml:space="preserve"> affordability</w:t>
      </w:r>
      <w:r w:rsidR="002752C6">
        <w:t xml:space="preserve"> of housing within the area to local households. Drawing on existing evidence and AECOM’s estimates for the neighbourhood area, this section quantifies the need for affordable housing within the NA. This includes Affordable Housing for rent (typically social or affordable rents) and Affordable Housing to buy. The scale of need for these homes </w:t>
      </w:r>
      <w:r w:rsidRPr="00C378B2">
        <w:t xml:space="preserve">can justify policies that guide new developments to </w:t>
      </w:r>
      <w:r w:rsidR="002752C6">
        <w:t>provide Affordable Housing</w:t>
      </w:r>
      <w:r w:rsidRPr="00C378B2">
        <w:t>.</w:t>
      </w:r>
      <w:r w:rsidRPr="00C378B2">
        <w:rPr>
          <w:rStyle w:val="FootnoteReference"/>
          <w:rFonts w:ascii="Arial" w:hAnsi="Arial"/>
          <w:lang w:val="en-GB"/>
        </w:rPr>
        <w:footnoteReference w:id="17"/>
      </w:r>
    </w:p>
    <w:p w14:paraId="6E548926" w14:textId="77777777" w:rsidR="002C2D5C" w:rsidRDefault="002C2D5C" w:rsidP="002C2D5C">
      <w:pPr>
        <w:pStyle w:val="Heading2"/>
        <w:jc w:val="both"/>
      </w:pPr>
      <w:bookmarkStart w:id="82" w:name="_Toc2690273"/>
      <w:bookmarkStart w:id="83" w:name="_Toc64026796"/>
      <w:bookmarkEnd w:id="79"/>
      <w:r>
        <w:t>Definitions</w:t>
      </w:r>
      <w:bookmarkEnd w:id="82"/>
      <w:bookmarkEnd w:id="83"/>
    </w:p>
    <w:p w14:paraId="5596EB26" w14:textId="77777777" w:rsidR="002752C6" w:rsidRPr="00C378B2" w:rsidRDefault="002752C6" w:rsidP="00A82210">
      <w:pPr>
        <w:pStyle w:val="ListNumber"/>
      </w:pPr>
      <w:r w:rsidRPr="00C378B2">
        <w:t>Tenure refers to the legal arrangements in place that enable a household to live in their home; it determines householder rights and influences the level of payments to be made in return for these rights. Broadly speaking, tenure falls into two cat</w:t>
      </w:r>
      <w:r>
        <w:t>egories, Affordable Housing and Market Housing</w:t>
      </w:r>
      <w:r w:rsidRPr="00C378B2">
        <w:t xml:space="preserve">, depending on whether the household benefits from a subsidy of some sort to enable them to live in their home. </w:t>
      </w:r>
    </w:p>
    <w:p w14:paraId="3C1E6793" w14:textId="4FC2EEB4" w:rsidR="002C2D5C" w:rsidRPr="00C378B2" w:rsidRDefault="002C2D5C" w:rsidP="00A82210">
      <w:pPr>
        <w:pStyle w:val="ListNumber"/>
      </w:pPr>
      <w:r w:rsidRPr="00C378B2">
        <w:t>It is necessary at this stage of the study to make clear the distinction between Affordable Housing as planning terminology and the colloquial meaning of the phrase. In the course of this study, we refer to Affordable Hou</w:t>
      </w:r>
      <w:r w:rsidR="00401071">
        <w:t xml:space="preserve">sing, </w:t>
      </w:r>
      <w:r w:rsidR="00F06D67">
        <w:t>with capital letters, to denote</w:t>
      </w:r>
      <w:r w:rsidRPr="00C378B2">
        <w:t xml:space="preserve"> those forms of housing tenure that fall within the definition of Affordable Housing set out in the current NPPF: social rent, affordable rent, affordable private rent (brought forward by build to rent schemes), and forms </w:t>
      </w:r>
      <w:r w:rsidR="00F06D67">
        <w:t>products</w:t>
      </w:r>
      <w:r w:rsidRPr="00C378B2">
        <w:t xml:space="preserve"> designed to offer affordable routes to home ownership.</w:t>
      </w:r>
      <w:r w:rsidRPr="00C378B2">
        <w:rPr>
          <w:rStyle w:val="FootnoteReference"/>
          <w:rFonts w:ascii="Arial" w:hAnsi="Arial"/>
          <w:lang w:val="en-GB"/>
        </w:rPr>
        <w:footnoteReference w:id="18"/>
      </w:r>
      <w:r w:rsidRPr="00C378B2">
        <w:t xml:space="preserve"> </w:t>
      </w:r>
    </w:p>
    <w:p w14:paraId="1F7421D7" w14:textId="64C5A91B" w:rsidR="002C2D5C" w:rsidRPr="00C378B2" w:rsidRDefault="002C2D5C" w:rsidP="00A82210">
      <w:pPr>
        <w:pStyle w:val="ListNumber"/>
      </w:pPr>
      <w:bookmarkStart w:id="84" w:name="_Hlk19192426"/>
      <w:r w:rsidRPr="00C378B2">
        <w:t>The definition of Affordable Housing set out in the NPPF makes clear the Government’s commitment to home ownership</w:t>
      </w:r>
      <w:r w:rsidR="007E0FF4">
        <w:t xml:space="preserve"> (</w:t>
      </w:r>
      <w:r w:rsidR="007E0FF4" w:rsidRPr="00C378B2">
        <w:t>broad</w:t>
      </w:r>
      <w:r w:rsidR="007E0FF4">
        <w:t>e</w:t>
      </w:r>
      <w:r w:rsidR="007E0FF4" w:rsidRPr="00C378B2">
        <w:t>n</w:t>
      </w:r>
      <w:r w:rsidR="007E0FF4">
        <w:t>ing</w:t>
      </w:r>
      <w:r w:rsidR="007E0FF4" w:rsidRPr="00C378B2">
        <w:t xml:space="preserve"> </w:t>
      </w:r>
      <w:r w:rsidR="00F06D67">
        <w:t>a</w:t>
      </w:r>
      <w:r w:rsidR="007E0FF4" w:rsidRPr="00C378B2">
        <w:t xml:space="preserve"> definition </w:t>
      </w:r>
      <w:r w:rsidR="007E0FF4">
        <w:t xml:space="preserve">which had previously referred only to social and intermediate housing </w:t>
      </w:r>
      <w:r w:rsidR="007E0FF4" w:rsidRPr="00C378B2">
        <w:t>to include a range of low-cost housing opportunities for those aspiring to own a home</w:t>
      </w:r>
      <w:r w:rsidR="007E0FF4">
        <w:t>).</w:t>
      </w:r>
      <w:r w:rsidR="00E275C8">
        <w:t xml:space="preserve"> </w:t>
      </w:r>
      <w:r w:rsidR="00712408">
        <w:t>As part of this effort, t</w:t>
      </w:r>
      <w:r w:rsidR="00E275C8">
        <w:t xml:space="preserve">he Government has </w:t>
      </w:r>
      <w:r w:rsidR="00F06D67">
        <w:t xml:space="preserve">recently </w:t>
      </w:r>
      <w:r w:rsidR="00E275C8">
        <w:t>proposed to introduce First Homes to provide at least a 30% discount on new market housing for sale.</w:t>
      </w:r>
      <w:r w:rsidR="00712408">
        <w:rPr>
          <w:rStyle w:val="FootnoteReference"/>
        </w:rPr>
        <w:footnoteReference w:id="19"/>
      </w:r>
      <w:r w:rsidR="007E0FF4">
        <w:t xml:space="preserve"> However,</w:t>
      </w:r>
      <w:r w:rsidR="00E275C8">
        <w:t xml:space="preserve"> the NPPF and Homes England funding</w:t>
      </w:r>
      <w:r w:rsidR="007E0FF4">
        <w:t xml:space="preserve"> </w:t>
      </w:r>
      <w:r w:rsidR="00E275C8">
        <w:t xml:space="preserve">for Affordable Housing </w:t>
      </w:r>
      <w:r w:rsidRPr="00C378B2">
        <w:t xml:space="preserve">recognises the important role of affordable rent tenures for those </w:t>
      </w:r>
      <w:r w:rsidR="00E275C8">
        <w:t>unable to afford</w:t>
      </w:r>
      <w:r w:rsidRPr="00C378B2">
        <w:t xml:space="preserve"> home ownership. </w:t>
      </w:r>
    </w:p>
    <w:p w14:paraId="36344785" w14:textId="77777777" w:rsidR="002C2D5C" w:rsidRPr="003A5666" w:rsidRDefault="002C2D5C" w:rsidP="002C2D5C">
      <w:pPr>
        <w:pStyle w:val="Heading2"/>
        <w:jc w:val="both"/>
      </w:pPr>
      <w:bookmarkStart w:id="85" w:name="_Toc521491989"/>
      <w:bookmarkStart w:id="86" w:name="_Toc536797443"/>
      <w:bookmarkStart w:id="87" w:name="_Toc2690274"/>
      <w:bookmarkStart w:id="88" w:name="_Toc64026797"/>
      <w:bookmarkEnd w:id="81"/>
      <w:bookmarkEnd w:id="84"/>
      <w:r w:rsidRPr="003A5666">
        <w:t>Current tenure profile</w:t>
      </w:r>
      <w:bookmarkEnd w:id="85"/>
      <w:bookmarkEnd w:id="86"/>
      <w:bookmarkEnd w:id="87"/>
      <w:bookmarkEnd w:id="88"/>
    </w:p>
    <w:p w14:paraId="0EA89A80" w14:textId="30CB891E" w:rsidR="002C2D5C" w:rsidRPr="00C378B2" w:rsidRDefault="007304CD" w:rsidP="00A82210">
      <w:pPr>
        <w:pStyle w:val="ListNumber"/>
      </w:pPr>
      <w:r>
        <w:t xml:space="preserve">The current tenure pattern </w:t>
      </w:r>
      <w:r w:rsidR="00451797">
        <w:t xml:space="preserve">is a key characteristic of the local neighbourhood area. Patterns of home ownership, private renting and affordable/social renting reflect demographic characteristics including age (with older households more likely to own their own homes), and patterns of income and wealth which influence whether households can afford to rent or buy and whether they need subsidy to access housing. </w:t>
      </w:r>
      <w:r w:rsidR="002C2D5C" w:rsidRPr="00C378B2">
        <w:fldChar w:fldCharType="begin"/>
      </w:r>
      <w:r w:rsidR="002C2D5C" w:rsidRPr="00C378B2">
        <w:instrText xml:space="preserve"> REF _Ref2330296 \h  \* MERGEFORMAT </w:instrText>
      </w:r>
      <w:r w:rsidR="002C2D5C" w:rsidRPr="00C378B2">
        <w:fldChar w:fldCharType="separate"/>
      </w:r>
      <w:r w:rsidR="00E14AFB" w:rsidRPr="004B77D6">
        <w:t xml:space="preserve">Table </w:t>
      </w:r>
      <w:r w:rsidR="00603781">
        <w:rPr>
          <w:noProof/>
        </w:rPr>
        <w:t>4</w:t>
      </w:r>
      <w:r w:rsidR="00E14AFB" w:rsidRPr="004B77D6">
        <w:rPr>
          <w:noProof/>
        </w:rPr>
        <w:noBreakHyphen/>
      </w:r>
      <w:r w:rsidR="00E14AFB">
        <w:rPr>
          <w:noProof/>
        </w:rPr>
        <w:t>1</w:t>
      </w:r>
      <w:r w:rsidR="002C2D5C" w:rsidRPr="00C378B2">
        <w:fldChar w:fldCharType="end"/>
      </w:r>
      <w:r w:rsidR="005F50BC">
        <w:t xml:space="preserve"> below presents C</w:t>
      </w:r>
      <w:r w:rsidR="002C2D5C" w:rsidRPr="00C378B2">
        <w:t xml:space="preserve">ensus data from 2011; this table shows the distribution of how households occupy their homes within </w:t>
      </w:r>
      <w:r w:rsidR="0015105E">
        <w:t>Weymouth</w:t>
      </w:r>
      <w:r w:rsidR="002C2D5C" w:rsidRPr="00C378B2">
        <w:t xml:space="preserve">, compared to the rest of </w:t>
      </w:r>
      <w:r w:rsidR="00295831">
        <w:t>Dorset</w:t>
      </w:r>
      <w:r w:rsidR="002C2D5C" w:rsidRPr="00C378B2">
        <w:t xml:space="preserve"> and England. </w:t>
      </w:r>
    </w:p>
    <w:p w14:paraId="753BEA87" w14:textId="49B57AE3" w:rsidR="002C2D5C" w:rsidRPr="00C378B2" w:rsidRDefault="00BB7095" w:rsidP="00A82210">
      <w:pPr>
        <w:pStyle w:val="ListNumber"/>
      </w:pPr>
      <w:r>
        <w:t>The most common tenure in Weymouth, as across Dorset and the country as a whole, is home ownership</w:t>
      </w:r>
      <w:r w:rsidR="00BA4C32">
        <w:t xml:space="preserve"> (applicable to 67% of households). This is</w:t>
      </w:r>
      <w:r>
        <w:t xml:space="preserve"> a slightly higher percentage than nationally (63%) and a slightly lower percentage than across Dorset (72%). Shared ownership makes up the smallest part of the local tenure profile (0.6%), as is also typical </w:t>
      </w:r>
      <w:r w:rsidR="00BA4C32">
        <w:t>regionally and nationally</w:t>
      </w:r>
      <w:r>
        <w:t>. Private renting, as the second most popular tenure</w:t>
      </w:r>
      <w:r w:rsidR="00BA4C32">
        <w:t xml:space="preserve"> in Weymouth</w:t>
      </w:r>
      <w:r>
        <w:t xml:space="preserve">, is the tenure of 18% of households, while Social Renting is the tenure of 14% of households. Private renting is more common in Weymouth than across Dorset, at a more similar percentage to that found nationally. Social renting is more akin to the Dorset profile, lower than the national percentage. </w:t>
      </w:r>
    </w:p>
    <w:p w14:paraId="16A12891" w14:textId="77777777" w:rsidR="002C2D5C" w:rsidRPr="003A5666" w:rsidRDefault="002C2D5C" w:rsidP="002C2D5C">
      <w:pPr>
        <w:jc w:val="both"/>
        <w:rPr>
          <w:rFonts w:asciiTheme="majorHAnsi" w:hAnsiTheme="majorHAnsi"/>
          <w:color w:val="00B5E2" w:themeColor="accent1"/>
          <w:sz w:val="20"/>
        </w:rPr>
      </w:pPr>
      <w:bookmarkStart w:id="89" w:name="_Ref520907681"/>
      <w:r w:rsidRPr="003A5666">
        <w:br w:type="page"/>
      </w:r>
    </w:p>
    <w:p w14:paraId="3F9E0F54" w14:textId="05C28682" w:rsidR="002C2D5C" w:rsidRPr="004B77D6" w:rsidRDefault="002C2D5C" w:rsidP="002C2D5C">
      <w:pPr>
        <w:pStyle w:val="Caption"/>
        <w:spacing w:after="0"/>
        <w:jc w:val="both"/>
        <w:rPr>
          <w:sz w:val="18"/>
          <w:szCs w:val="18"/>
        </w:rPr>
      </w:pPr>
      <w:bookmarkStart w:id="90" w:name="_Ref2330296"/>
      <w:bookmarkEnd w:id="89"/>
      <w:r w:rsidRPr="004B77D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4</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1</w:t>
      </w:r>
      <w:r w:rsidR="00BA4C32">
        <w:rPr>
          <w:sz w:val="18"/>
          <w:szCs w:val="18"/>
        </w:rPr>
        <w:fldChar w:fldCharType="end"/>
      </w:r>
      <w:bookmarkEnd w:id="90"/>
      <w:r w:rsidRPr="004B77D6">
        <w:rPr>
          <w:sz w:val="18"/>
          <w:szCs w:val="18"/>
        </w:rPr>
        <w:t xml:space="preserve">: Tenure (households) in </w:t>
      </w:r>
      <w:r w:rsidR="0015105E">
        <w:rPr>
          <w:sz w:val="18"/>
          <w:szCs w:val="18"/>
        </w:rPr>
        <w:t>Weymouth</w:t>
      </w:r>
      <w:r w:rsidRPr="004B77D6">
        <w:rPr>
          <w:sz w:val="18"/>
          <w:szCs w:val="18"/>
        </w:rPr>
        <w:t>, 2011</w:t>
      </w:r>
    </w:p>
    <w:tbl>
      <w:tblPr>
        <w:tblW w:w="4794" w:type="pct"/>
        <w:tblInd w:w="416" w:type="dxa"/>
        <w:tblLook w:val="04A0" w:firstRow="1" w:lastRow="0" w:firstColumn="1" w:lastColumn="0" w:noHBand="0" w:noVBand="1"/>
      </w:tblPr>
      <w:tblGrid>
        <w:gridCol w:w="2823"/>
        <w:gridCol w:w="2098"/>
        <w:gridCol w:w="2520"/>
        <w:gridCol w:w="1969"/>
      </w:tblGrid>
      <w:tr w:rsidR="00295831" w:rsidRPr="00295831" w14:paraId="7F174BAC" w14:textId="77777777" w:rsidTr="00C378B2">
        <w:trPr>
          <w:trHeight w:val="288"/>
        </w:trPr>
        <w:tc>
          <w:tcPr>
            <w:tcW w:w="1500" w:type="pct"/>
            <w:tcBorders>
              <w:top w:val="single" w:sz="8" w:space="0" w:color="auto"/>
              <w:left w:val="single" w:sz="8" w:space="0" w:color="auto"/>
              <w:bottom w:val="single" w:sz="4" w:space="0" w:color="auto"/>
              <w:right w:val="single" w:sz="4" w:space="0" w:color="auto"/>
            </w:tcBorders>
            <w:shd w:val="clear" w:color="auto" w:fill="000000" w:themeFill="text1"/>
            <w:noWrap/>
            <w:vAlign w:val="center"/>
            <w:hideMark/>
          </w:tcPr>
          <w:p w14:paraId="2DBEDC63" w14:textId="7BED77F1" w:rsidR="00295831" w:rsidRPr="00295831" w:rsidRDefault="00295831" w:rsidP="00295831">
            <w:pPr>
              <w:spacing w:after="0"/>
              <w:jc w:val="both"/>
              <w:rPr>
                <w:b/>
                <w:color w:val="FFFFFF" w:themeColor="background2"/>
                <w:sz w:val="18"/>
                <w:szCs w:val="18"/>
              </w:rPr>
            </w:pPr>
            <w:r w:rsidRPr="00295831">
              <w:rPr>
                <w:b/>
                <w:bCs/>
                <w:color w:val="FFFFFF"/>
                <w:sz w:val="18"/>
                <w:szCs w:val="18"/>
              </w:rPr>
              <w:t>Tenure</w:t>
            </w:r>
          </w:p>
        </w:tc>
        <w:tc>
          <w:tcPr>
            <w:tcW w:w="1115" w:type="pct"/>
            <w:tcBorders>
              <w:top w:val="single" w:sz="8" w:space="0" w:color="auto"/>
              <w:left w:val="nil"/>
              <w:bottom w:val="single" w:sz="4" w:space="0" w:color="auto"/>
              <w:right w:val="single" w:sz="4" w:space="0" w:color="auto"/>
            </w:tcBorders>
            <w:shd w:val="clear" w:color="auto" w:fill="000000" w:themeFill="text1"/>
            <w:noWrap/>
            <w:vAlign w:val="center"/>
            <w:hideMark/>
          </w:tcPr>
          <w:p w14:paraId="0E1997C3" w14:textId="2B2A120E" w:rsidR="00295831" w:rsidRPr="00295831" w:rsidRDefault="00295831" w:rsidP="00295831">
            <w:pPr>
              <w:spacing w:after="0"/>
              <w:jc w:val="both"/>
              <w:rPr>
                <w:b/>
                <w:bCs/>
                <w:color w:val="FFFFFF" w:themeColor="background2"/>
                <w:sz w:val="18"/>
                <w:szCs w:val="18"/>
              </w:rPr>
            </w:pPr>
            <w:r w:rsidRPr="00295831">
              <w:rPr>
                <w:b/>
                <w:bCs/>
                <w:color w:val="FFFFFF"/>
                <w:sz w:val="18"/>
                <w:szCs w:val="18"/>
              </w:rPr>
              <w:t>Weymouth</w:t>
            </w:r>
          </w:p>
        </w:tc>
        <w:tc>
          <w:tcPr>
            <w:tcW w:w="1339" w:type="pct"/>
            <w:tcBorders>
              <w:top w:val="single" w:sz="8" w:space="0" w:color="auto"/>
              <w:left w:val="nil"/>
              <w:bottom w:val="single" w:sz="4" w:space="0" w:color="auto"/>
              <w:right w:val="single" w:sz="4" w:space="0" w:color="auto"/>
            </w:tcBorders>
            <w:shd w:val="clear" w:color="auto" w:fill="000000" w:themeFill="text1"/>
            <w:noWrap/>
            <w:vAlign w:val="center"/>
            <w:hideMark/>
          </w:tcPr>
          <w:p w14:paraId="06DFC67F" w14:textId="6417818A" w:rsidR="00295831" w:rsidRPr="00295831" w:rsidRDefault="00295831" w:rsidP="00295831">
            <w:pPr>
              <w:spacing w:after="0"/>
              <w:jc w:val="both"/>
              <w:rPr>
                <w:b/>
                <w:bCs/>
                <w:color w:val="FFFFFF" w:themeColor="background2"/>
                <w:sz w:val="18"/>
                <w:szCs w:val="18"/>
              </w:rPr>
            </w:pPr>
            <w:r w:rsidRPr="00295831">
              <w:rPr>
                <w:b/>
                <w:bCs/>
                <w:color w:val="FFFFFF"/>
                <w:sz w:val="18"/>
                <w:szCs w:val="18"/>
              </w:rPr>
              <w:t>Dorset</w:t>
            </w:r>
            <w:r w:rsidR="006257CB">
              <w:rPr>
                <w:rStyle w:val="FootnoteReference"/>
                <w:b/>
                <w:bCs/>
                <w:sz w:val="18"/>
                <w:szCs w:val="18"/>
              </w:rPr>
              <w:footnoteReference w:id="20"/>
            </w:r>
          </w:p>
        </w:tc>
        <w:tc>
          <w:tcPr>
            <w:tcW w:w="1046" w:type="pct"/>
            <w:tcBorders>
              <w:top w:val="single" w:sz="8" w:space="0" w:color="auto"/>
              <w:left w:val="nil"/>
              <w:bottom w:val="single" w:sz="4" w:space="0" w:color="auto"/>
              <w:right w:val="single" w:sz="8" w:space="0" w:color="auto"/>
            </w:tcBorders>
            <w:shd w:val="clear" w:color="auto" w:fill="000000" w:themeFill="text1"/>
            <w:noWrap/>
            <w:vAlign w:val="center"/>
            <w:hideMark/>
          </w:tcPr>
          <w:p w14:paraId="51CEA185" w14:textId="1348B973" w:rsidR="00295831" w:rsidRPr="00295831" w:rsidRDefault="00295831" w:rsidP="00295831">
            <w:pPr>
              <w:spacing w:after="0"/>
              <w:jc w:val="both"/>
              <w:rPr>
                <w:b/>
                <w:bCs/>
                <w:color w:val="FFFFFF" w:themeColor="background2"/>
                <w:sz w:val="18"/>
                <w:szCs w:val="18"/>
              </w:rPr>
            </w:pPr>
            <w:r w:rsidRPr="00295831">
              <w:rPr>
                <w:b/>
                <w:bCs/>
                <w:color w:val="FFFFFF"/>
                <w:sz w:val="18"/>
                <w:szCs w:val="18"/>
              </w:rPr>
              <w:t>England</w:t>
            </w:r>
          </w:p>
        </w:tc>
      </w:tr>
      <w:tr w:rsidR="00295831" w:rsidRPr="00295831" w14:paraId="63ED682C" w14:textId="77777777" w:rsidTr="00C378B2">
        <w:trPr>
          <w:trHeight w:val="288"/>
        </w:trPr>
        <w:tc>
          <w:tcPr>
            <w:tcW w:w="1500" w:type="pct"/>
            <w:tcBorders>
              <w:top w:val="nil"/>
              <w:left w:val="single" w:sz="8" w:space="0" w:color="auto"/>
              <w:bottom w:val="single" w:sz="4" w:space="0" w:color="auto"/>
              <w:right w:val="single" w:sz="4" w:space="0" w:color="auto"/>
            </w:tcBorders>
            <w:shd w:val="clear" w:color="auto" w:fill="auto"/>
            <w:noWrap/>
            <w:vAlign w:val="center"/>
            <w:hideMark/>
          </w:tcPr>
          <w:p w14:paraId="3BBEF5F4" w14:textId="42218328" w:rsidR="00295831" w:rsidRPr="00295831" w:rsidRDefault="00295831" w:rsidP="00295831">
            <w:pPr>
              <w:spacing w:after="0"/>
              <w:jc w:val="both"/>
              <w:rPr>
                <w:sz w:val="18"/>
                <w:szCs w:val="18"/>
              </w:rPr>
            </w:pPr>
            <w:r w:rsidRPr="00295831">
              <w:rPr>
                <w:sz w:val="18"/>
                <w:szCs w:val="18"/>
              </w:rPr>
              <w:t>Owned; total</w:t>
            </w:r>
          </w:p>
        </w:tc>
        <w:tc>
          <w:tcPr>
            <w:tcW w:w="1115" w:type="pct"/>
            <w:tcBorders>
              <w:top w:val="nil"/>
              <w:left w:val="nil"/>
              <w:bottom w:val="single" w:sz="4" w:space="0" w:color="auto"/>
              <w:right w:val="single" w:sz="4" w:space="0" w:color="auto"/>
            </w:tcBorders>
            <w:shd w:val="clear" w:color="auto" w:fill="auto"/>
            <w:noWrap/>
            <w:vAlign w:val="center"/>
          </w:tcPr>
          <w:p w14:paraId="27EE5DD8" w14:textId="235B0913" w:rsidR="00295831" w:rsidRPr="00295831" w:rsidRDefault="00295831" w:rsidP="00295831">
            <w:pPr>
              <w:spacing w:after="0"/>
              <w:jc w:val="both"/>
              <w:rPr>
                <w:rFonts w:cstheme="minorHAnsi"/>
                <w:sz w:val="18"/>
                <w:szCs w:val="18"/>
              </w:rPr>
            </w:pPr>
            <w:r w:rsidRPr="00295831">
              <w:rPr>
                <w:sz w:val="18"/>
                <w:szCs w:val="18"/>
              </w:rPr>
              <w:t>66.5%</w:t>
            </w:r>
          </w:p>
        </w:tc>
        <w:tc>
          <w:tcPr>
            <w:tcW w:w="1339" w:type="pct"/>
            <w:tcBorders>
              <w:top w:val="nil"/>
              <w:left w:val="nil"/>
              <w:bottom w:val="single" w:sz="4" w:space="0" w:color="auto"/>
              <w:right w:val="single" w:sz="4" w:space="0" w:color="auto"/>
            </w:tcBorders>
            <w:shd w:val="clear" w:color="auto" w:fill="auto"/>
            <w:noWrap/>
            <w:vAlign w:val="center"/>
          </w:tcPr>
          <w:p w14:paraId="7E92F6E4" w14:textId="70C48416" w:rsidR="00295831" w:rsidRPr="00295831" w:rsidRDefault="00295831" w:rsidP="00295831">
            <w:pPr>
              <w:spacing w:after="0"/>
              <w:jc w:val="both"/>
              <w:rPr>
                <w:rFonts w:cstheme="minorHAnsi"/>
                <w:sz w:val="18"/>
                <w:szCs w:val="18"/>
              </w:rPr>
            </w:pPr>
            <w:r w:rsidRPr="00295831">
              <w:rPr>
                <w:sz w:val="18"/>
                <w:szCs w:val="18"/>
              </w:rPr>
              <w:t>72.0%</w:t>
            </w:r>
          </w:p>
        </w:tc>
        <w:tc>
          <w:tcPr>
            <w:tcW w:w="1046" w:type="pct"/>
            <w:tcBorders>
              <w:top w:val="nil"/>
              <w:left w:val="nil"/>
              <w:bottom w:val="single" w:sz="4" w:space="0" w:color="auto"/>
              <w:right w:val="single" w:sz="8" w:space="0" w:color="auto"/>
            </w:tcBorders>
            <w:shd w:val="clear" w:color="auto" w:fill="auto"/>
            <w:noWrap/>
            <w:vAlign w:val="center"/>
          </w:tcPr>
          <w:p w14:paraId="67167758" w14:textId="72A0C29B" w:rsidR="00295831" w:rsidRPr="00295831" w:rsidRDefault="00295831" w:rsidP="00295831">
            <w:pPr>
              <w:spacing w:after="0"/>
              <w:jc w:val="both"/>
              <w:rPr>
                <w:rFonts w:cstheme="minorHAnsi"/>
                <w:sz w:val="18"/>
                <w:szCs w:val="18"/>
              </w:rPr>
            </w:pPr>
            <w:r w:rsidRPr="00295831">
              <w:rPr>
                <w:sz w:val="18"/>
                <w:szCs w:val="18"/>
              </w:rPr>
              <w:t>63.3%</w:t>
            </w:r>
          </w:p>
        </w:tc>
      </w:tr>
      <w:tr w:rsidR="00295831" w:rsidRPr="00295831" w14:paraId="6ECA087B" w14:textId="77777777" w:rsidTr="00C378B2">
        <w:trPr>
          <w:trHeight w:val="288"/>
        </w:trPr>
        <w:tc>
          <w:tcPr>
            <w:tcW w:w="1500" w:type="pct"/>
            <w:tcBorders>
              <w:top w:val="nil"/>
              <w:left w:val="single" w:sz="8" w:space="0" w:color="auto"/>
              <w:bottom w:val="single" w:sz="4" w:space="0" w:color="auto"/>
              <w:right w:val="single" w:sz="4" w:space="0" w:color="auto"/>
            </w:tcBorders>
            <w:shd w:val="clear" w:color="auto" w:fill="auto"/>
            <w:noWrap/>
            <w:vAlign w:val="center"/>
            <w:hideMark/>
          </w:tcPr>
          <w:p w14:paraId="25C24DD5" w14:textId="41332722" w:rsidR="00295831" w:rsidRPr="00295831" w:rsidRDefault="00295831" w:rsidP="00295831">
            <w:pPr>
              <w:spacing w:after="0"/>
              <w:jc w:val="both"/>
              <w:rPr>
                <w:sz w:val="18"/>
                <w:szCs w:val="18"/>
              </w:rPr>
            </w:pPr>
            <w:r w:rsidRPr="00295831">
              <w:rPr>
                <w:sz w:val="18"/>
                <w:szCs w:val="18"/>
              </w:rPr>
              <w:t xml:space="preserve">Shared ownership </w:t>
            </w:r>
          </w:p>
        </w:tc>
        <w:tc>
          <w:tcPr>
            <w:tcW w:w="1115" w:type="pct"/>
            <w:tcBorders>
              <w:top w:val="nil"/>
              <w:left w:val="nil"/>
              <w:bottom w:val="single" w:sz="4" w:space="0" w:color="auto"/>
              <w:right w:val="single" w:sz="4" w:space="0" w:color="auto"/>
            </w:tcBorders>
            <w:shd w:val="clear" w:color="auto" w:fill="auto"/>
            <w:noWrap/>
            <w:vAlign w:val="center"/>
          </w:tcPr>
          <w:p w14:paraId="2A30A2CC" w14:textId="286B531F" w:rsidR="00295831" w:rsidRPr="00295831" w:rsidRDefault="00295831" w:rsidP="00295831">
            <w:pPr>
              <w:spacing w:after="0"/>
              <w:jc w:val="both"/>
              <w:rPr>
                <w:rFonts w:cstheme="minorHAnsi"/>
                <w:sz w:val="18"/>
                <w:szCs w:val="18"/>
              </w:rPr>
            </w:pPr>
            <w:r w:rsidRPr="00295831">
              <w:rPr>
                <w:sz w:val="18"/>
                <w:szCs w:val="18"/>
              </w:rPr>
              <w:t>0.6%</w:t>
            </w:r>
          </w:p>
        </w:tc>
        <w:tc>
          <w:tcPr>
            <w:tcW w:w="1339" w:type="pct"/>
            <w:tcBorders>
              <w:top w:val="nil"/>
              <w:left w:val="nil"/>
              <w:bottom w:val="single" w:sz="4" w:space="0" w:color="auto"/>
              <w:right w:val="single" w:sz="4" w:space="0" w:color="auto"/>
            </w:tcBorders>
            <w:shd w:val="clear" w:color="auto" w:fill="auto"/>
            <w:noWrap/>
            <w:vAlign w:val="center"/>
          </w:tcPr>
          <w:p w14:paraId="26E22B5A" w14:textId="6C16848A" w:rsidR="00295831" w:rsidRPr="00295831" w:rsidRDefault="00295831" w:rsidP="00295831">
            <w:pPr>
              <w:spacing w:after="0"/>
              <w:jc w:val="both"/>
              <w:rPr>
                <w:rFonts w:cstheme="minorHAnsi"/>
                <w:sz w:val="18"/>
                <w:szCs w:val="18"/>
              </w:rPr>
            </w:pPr>
            <w:r w:rsidRPr="00295831">
              <w:rPr>
                <w:sz w:val="18"/>
                <w:szCs w:val="18"/>
              </w:rPr>
              <w:t>0.7%</w:t>
            </w:r>
          </w:p>
        </w:tc>
        <w:tc>
          <w:tcPr>
            <w:tcW w:w="1046" w:type="pct"/>
            <w:tcBorders>
              <w:top w:val="nil"/>
              <w:left w:val="nil"/>
              <w:bottom w:val="single" w:sz="4" w:space="0" w:color="auto"/>
              <w:right w:val="single" w:sz="8" w:space="0" w:color="auto"/>
            </w:tcBorders>
            <w:shd w:val="clear" w:color="auto" w:fill="auto"/>
            <w:noWrap/>
            <w:vAlign w:val="center"/>
          </w:tcPr>
          <w:p w14:paraId="4DA5DADC" w14:textId="6FD2A8FC" w:rsidR="00295831" w:rsidRPr="00295831" w:rsidRDefault="00295831" w:rsidP="00295831">
            <w:pPr>
              <w:spacing w:after="0"/>
              <w:jc w:val="both"/>
              <w:rPr>
                <w:rFonts w:cstheme="minorHAnsi"/>
                <w:sz w:val="18"/>
                <w:szCs w:val="18"/>
              </w:rPr>
            </w:pPr>
            <w:r w:rsidRPr="00295831">
              <w:rPr>
                <w:sz w:val="18"/>
                <w:szCs w:val="18"/>
              </w:rPr>
              <w:t>0.8%</w:t>
            </w:r>
          </w:p>
        </w:tc>
      </w:tr>
      <w:tr w:rsidR="00295831" w:rsidRPr="00295831" w14:paraId="2F256BD8" w14:textId="77777777" w:rsidTr="00C378B2">
        <w:trPr>
          <w:trHeight w:val="288"/>
        </w:trPr>
        <w:tc>
          <w:tcPr>
            <w:tcW w:w="1500" w:type="pct"/>
            <w:tcBorders>
              <w:top w:val="nil"/>
              <w:left w:val="single" w:sz="8" w:space="0" w:color="auto"/>
              <w:bottom w:val="single" w:sz="4" w:space="0" w:color="auto"/>
              <w:right w:val="single" w:sz="4" w:space="0" w:color="auto"/>
            </w:tcBorders>
            <w:shd w:val="clear" w:color="auto" w:fill="auto"/>
            <w:noWrap/>
            <w:vAlign w:val="center"/>
            <w:hideMark/>
          </w:tcPr>
          <w:p w14:paraId="57B4395D" w14:textId="2BF824BE" w:rsidR="00295831" w:rsidRPr="00295831" w:rsidRDefault="00295831" w:rsidP="00295831">
            <w:pPr>
              <w:spacing w:after="0"/>
              <w:jc w:val="both"/>
              <w:rPr>
                <w:sz w:val="18"/>
                <w:szCs w:val="18"/>
              </w:rPr>
            </w:pPr>
            <w:r w:rsidRPr="00295831">
              <w:rPr>
                <w:sz w:val="18"/>
                <w:szCs w:val="18"/>
              </w:rPr>
              <w:t>Social rented; total</w:t>
            </w:r>
          </w:p>
        </w:tc>
        <w:tc>
          <w:tcPr>
            <w:tcW w:w="1115" w:type="pct"/>
            <w:tcBorders>
              <w:top w:val="nil"/>
              <w:left w:val="nil"/>
              <w:bottom w:val="single" w:sz="4" w:space="0" w:color="auto"/>
              <w:right w:val="single" w:sz="4" w:space="0" w:color="auto"/>
            </w:tcBorders>
            <w:shd w:val="clear" w:color="auto" w:fill="auto"/>
            <w:noWrap/>
            <w:vAlign w:val="center"/>
          </w:tcPr>
          <w:p w14:paraId="3809872B" w14:textId="2E10119E" w:rsidR="00295831" w:rsidRPr="00295831" w:rsidRDefault="00295831" w:rsidP="00295831">
            <w:pPr>
              <w:spacing w:after="0"/>
              <w:jc w:val="both"/>
              <w:rPr>
                <w:rFonts w:cstheme="minorHAnsi"/>
                <w:sz w:val="18"/>
                <w:szCs w:val="18"/>
              </w:rPr>
            </w:pPr>
            <w:r w:rsidRPr="00295831">
              <w:rPr>
                <w:sz w:val="18"/>
                <w:szCs w:val="18"/>
              </w:rPr>
              <w:t>13.7%</w:t>
            </w:r>
          </w:p>
        </w:tc>
        <w:tc>
          <w:tcPr>
            <w:tcW w:w="1339" w:type="pct"/>
            <w:tcBorders>
              <w:top w:val="nil"/>
              <w:left w:val="nil"/>
              <w:bottom w:val="single" w:sz="4" w:space="0" w:color="auto"/>
              <w:right w:val="single" w:sz="4" w:space="0" w:color="auto"/>
            </w:tcBorders>
            <w:shd w:val="clear" w:color="auto" w:fill="auto"/>
            <w:noWrap/>
            <w:vAlign w:val="center"/>
          </w:tcPr>
          <w:p w14:paraId="6093430D" w14:textId="15A14719" w:rsidR="00295831" w:rsidRPr="00295831" w:rsidRDefault="00295831" w:rsidP="00295831">
            <w:pPr>
              <w:spacing w:after="0"/>
              <w:jc w:val="both"/>
              <w:rPr>
                <w:rFonts w:cstheme="minorHAnsi"/>
                <w:sz w:val="18"/>
                <w:szCs w:val="18"/>
              </w:rPr>
            </w:pPr>
            <w:r w:rsidRPr="00295831">
              <w:rPr>
                <w:sz w:val="18"/>
                <w:szCs w:val="18"/>
              </w:rPr>
              <w:t>12.4%</w:t>
            </w:r>
          </w:p>
        </w:tc>
        <w:tc>
          <w:tcPr>
            <w:tcW w:w="1046" w:type="pct"/>
            <w:tcBorders>
              <w:top w:val="nil"/>
              <w:left w:val="nil"/>
              <w:bottom w:val="single" w:sz="4" w:space="0" w:color="auto"/>
              <w:right w:val="single" w:sz="8" w:space="0" w:color="auto"/>
            </w:tcBorders>
            <w:shd w:val="clear" w:color="auto" w:fill="auto"/>
            <w:noWrap/>
            <w:vAlign w:val="center"/>
          </w:tcPr>
          <w:p w14:paraId="0C80400A" w14:textId="6A71C1D2" w:rsidR="00295831" w:rsidRPr="00295831" w:rsidRDefault="00295831" w:rsidP="00295831">
            <w:pPr>
              <w:spacing w:after="0"/>
              <w:jc w:val="both"/>
              <w:rPr>
                <w:rFonts w:cstheme="minorHAnsi"/>
                <w:sz w:val="18"/>
                <w:szCs w:val="18"/>
              </w:rPr>
            </w:pPr>
            <w:r w:rsidRPr="00295831">
              <w:rPr>
                <w:sz w:val="18"/>
                <w:szCs w:val="18"/>
              </w:rPr>
              <w:t>17.7%</w:t>
            </w:r>
          </w:p>
        </w:tc>
      </w:tr>
      <w:tr w:rsidR="00295831" w:rsidRPr="00295831" w14:paraId="6DD8BC26" w14:textId="77777777" w:rsidTr="00C378B2">
        <w:trPr>
          <w:trHeight w:val="300"/>
        </w:trPr>
        <w:tc>
          <w:tcPr>
            <w:tcW w:w="1500" w:type="pct"/>
            <w:tcBorders>
              <w:top w:val="nil"/>
              <w:left w:val="single" w:sz="8" w:space="0" w:color="auto"/>
              <w:bottom w:val="single" w:sz="8" w:space="0" w:color="auto"/>
              <w:right w:val="single" w:sz="4" w:space="0" w:color="auto"/>
            </w:tcBorders>
            <w:shd w:val="clear" w:color="auto" w:fill="auto"/>
            <w:noWrap/>
            <w:vAlign w:val="center"/>
            <w:hideMark/>
          </w:tcPr>
          <w:p w14:paraId="49A6F763" w14:textId="2086243A" w:rsidR="00295831" w:rsidRPr="00295831" w:rsidRDefault="00295831" w:rsidP="00295831">
            <w:pPr>
              <w:spacing w:after="0"/>
              <w:jc w:val="both"/>
              <w:rPr>
                <w:sz w:val="18"/>
                <w:szCs w:val="18"/>
              </w:rPr>
            </w:pPr>
            <w:r w:rsidRPr="00295831">
              <w:rPr>
                <w:sz w:val="18"/>
                <w:szCs w:val="18"/>
              </w:rPr>
              <w:t>Private rented; total</w:t>
            </w:r>
          </w:p>
        </w:tc>
        <w:tc>
          <w:tcPr>
            <w:tcW w:w="1115" w:type="pct"/>
            <w:tcBorders>
              <w:top w:val="nil"/>
              <w:left w:val="nil"/>
              <w:bottom w:val="single" w:sz="8" w:space="0" w:color="auto"/>
              <w:right w:val="single" w:sz="4" w:space="0" w:color="auto"/>
            </w:tcBorders>
            <w:shd w:val="clear" w:color="auto" w:fill="auto"/>
            <w:noWrap/>
            <w:vAlign w:val="center"/>
          </w:tcPr>
          <w:p w14:paraId="256D7A77" w14:textId="0D2F5E54" w:rsidR="00295831" w:rsidRPr="00295831" w:rsidRDefault="00295831" w:rsidP="00295831">
            <w:pPr>
              <w:spacing w:after="0"/>
              <w:jc w:val="both"/>
              <w:rPr>
                <w:rFonts w:cstheme="minorHAnsi"/>
                <w:sz w:val="18"/>
                <w:szCs w:val="18"/>
              </w:rPr>
            </w:pPr>
            <w:r w:rsidRPr="00295831">
              <w:rPr>
                <w:sz w:val="18"/>
                <w:szCs w:val="18"/>
              </w:rPr>
              <w:t>18.0%</w:t>
            </w:r>
          </w:p>
        </w:tc>
        <w:tc>
          <w:tcPr>
            <w:tcW w:w="1339" w:type="pct"/>
            <w:tcBorders>
              <w:top w:val="nil"/>
              <w:left w:val="nil"/>
              <w:bottom w:val="single" w:sz="8" w:space="0" w:color="auto"/>
              <w:right w:val="single" w:sz="4" w:space="0" w:color="auto"/>
            </w:tcBorders>
            <w:shd w:val="clear" w:color="auto" w:fill="auto"/>
            <w:noWrap/>
            <w:vAlign w:val="center"/>
          </w:tcPr>
          <w:p w14:paraId="73FFF77A" w14:textId="27D80012" w:rsidR="00295831" w:rsidRPr="00295831" w:rsidRDefault="00295831" w:rsidP="00295831">
            <w:pPr>
              <w:spacing w:after="0"/>
              <w:jc w:val="both"/>
              <w:rPr>
                <w:rFonts w:cstheme="minorHAnsi"/>
                <w:sz w:val="18"/>
                <w:szCs w:val="18"/>
              </w:rPr>
            </w:pPr>
            <w:r w:rsidRPr="00295831">
              <w:rPr>
                <w:sz w:val="18"/>
                <w:szCs w:val="18"/>
              </w:rPr>
              <w:t>13.3%</w:t>
            </w:r>
          </w:p>
        </w:tc>
        <w:tc>
          <w:tcPr>
            <w:tcW w:w="1046" w:type="pct"/>
            <w:tcBorders>
              <w:top w:val="nil"/>
              <w:left w:val="nil"/>
              <w:bottom w:val="single" w:sz="8" w:space="0" w:color="auto"/>
              <w:right w:val="single" w:sz="8" w:space="0" w:color="auto"/>
            </w:tcBorders>
            <w:shd w:val="clear" w:color="auto" w:fill="auto"/>
            <w:noWrap/>
            <w:vAlign w:val="center"/>
          </w:tcPr>
          <w:p w14:paraId="3DC5F1C4" w14:textId="7AAEEA1F" w:rsidR="00295831" w:rsidRPr="00295831" w:rsidRDefault="00295831" w:rsidP="00295831">
            <w:pPr>
              <w:spacing w:after="0"/>
              <w:jc w:val="both"/>
              <w:rPr>
                <w:rFonts w:cstheme="minorHAnsi"/>
                <w:sz w:val="18"/>
                <w:szCs w:val="18"/>
              </w:rPr>
            </w:pPr>
            <w:r w:rsidRPr="00295831">
              <w:rPr>
                <w:sz w:val="18"/>
                <w:szCs w:val="18"/>
              </w:rPr>
              <w:t>16.8%</w:t>
            </w:r>
          </w:p>
        </w:tc>
      </w:tr>
    </w:tbl>
    <w:p w14:paraId="2EB6F6BE" w14:textId="25FF245E" w:rsidR="002C2D5C" w:rsidRDefault="002C2D5C" w:rsidP="002C2D5C">
      <w:pPr>
        <w:pStyle w:val="Source"/>
        <w:spacing w:after="0"/>
        <w:jc w:val="both"/>
      </w:pPr>
      <w:r w:rsidRPr="009F7639">
        <w:t>Source</w:t>
      </w:r>
      <w:r w:rsidR="00C378B2">
        <w:t>s</w:t>
      </w:r>
      <w:r w:rsidRPr="009F7639">
        <w:t>: Census 2011, AECOM Calculations</w:t>
      </w:r>
    </w:p>
    <w:p w14:paraId="3C249118" w14:textId="1B33C46C" w:rsidR="002C2D5C" w:rsidRPr="00C378B2" w:rsidRDefault="002C2D5C" w:rsidP="00A82210">
      <w:pPr>
        <w:pStyle w:val="ListNumber"/>
      </w:pPr>
      <w:r w:rsidRPr="00C378B2">
        <w:t xml:space="preserve">In </w:t>
      </w:r>
      <w:r w:rsidRPr="00C378B2">
        <w:fldChar w:fldCharType="begin"/>
      </w:r>
      <w:r w:rsidRPr="00C378B2">
        <w:instrText xml:space="preserve"> REF _Ref2331458 \h  \* MERGEFORMAT </w:instrText>
      </w:r>
      <w:r w:rsidRPr="00C378B2">
        <w:fldChar w:fldCharType="separate"/>
      </w:r>
      <w:r w:rsidR="00E14AFB" w:rsidRPr="004B77D6">
        <w:t xml:space="preserve">Table </w:t>
      </w:r>
      <w:r w:rsidR="00603781">
        <w:rPr>
          <w:noProof/>
        </w:rPr>
        <w:t>4</w:t>
      </w:r>
      <w:r w:rsidR="00E14AFB" w:rsidRPr="004B77D6">
        <w:rPr>
          <w:noProof/>
        </w:rPr>
        <w:noBreakHyphen/>
      </w:r>
      <w:r w:rsidR="00E14AFB">
        <w:rPr>
          <w:noProof/>
        </w:rPr>
        <w:t>2</w:t>
      </w:r>
      <w:r w:rsidRPr="00C378B2">
        <w:fldChar w:fldCharType="end"/>
      </w:r>
      <w:r w:rsidRPr="00C378B2">
        <w:t>, we note the chan</w:t>
      </w:r>
      <w:r w:rsidR="00C378B2">
        <w:t xml:space="preserve">ges in </w:t>
      </w:r>
      <w:r w:rsidR="004A24C8">
        <w:t>tenure</w:t>
      </w:r>
      <w:r w:rsidRPr="00C378B2">
        <w:t xml:space="preserve"> during the intercensal period</w:t>
      </w:r>
      <w:r w:rsidR="00BB7095">
        <w:t xml:space="preserve">. The largest increase </w:t>
      </w:r>
      <w:r w:rsidR="00BA4C32">
        <w:t xml:space="preserve">for Weymouth </w:t>
      </w:r>
      <w:r w:rsidR="008E553A">
        <w:t xml:space="preserve">(75%) </w:t>
      </w:r>
      <w:r w:rsidR="00BB7095">
        <w:t xml:space="preserve">was in private renting, </w:t>
      </w:r>
      <w:r w:rsidR="008E553A">
        <w:t>similarly to</w:t>
      </w:r>
      <w:r w:rsidR="00BB7095">
        <w:t xml:space="preserve"> across Dorset and England as a whole. </w:t>
      </w:r>
      <w:r w:rsidR="008E553A">
        <w:t>Also similar for all three areas was a significant percentage increase in shared ownership as a tenure</w:t>
      </w:r>
      <w:r w:rsidR="00BA4C32">
        <w:t>,</w:t>
      </w:r>
      <w:r w:rsidR="008E553A">
        <w:t xml:space="preserve"> by 59% in the case of W</w:t>
      </w:r>
      <w:r w:rsidR="00BA4C32">
        <w:t>e</w:t>
      </w:r>
      <w:r w:rsidR="008E553A">
        <w:t>ymouth. However, in total, this still makes up a very small share of households after 2011, as shown above. At the same time, social renting has increased</w:t>
      </w:r>
      <w:r w:rsidR="004F6EDD">
        <w:t xml:space="preserve"> </w:t>
      </w:r>
      <w:r w:rsidR="008E553A">
        <w:t>its share, by just under 10% and owner occupation has declined</w:t>
      </w:r>
      <w:r w:rsidR="00BA4C32">
        <w:t xml:space="preserve"> slightly</w:t>
      </w:r>
      <w:r w:rsidR="008E553A">
        <w:t xml:space="preserve">, by 4%. </w:t>
      </w:r>
      <w:r w:rsidR="00BA4C32">
        <w:t>However, it remains by far the most popular tenure, both in 2001 and in 2011.</w:t>
      </w:r>
    </w:p>
    <w:p w14:paraId="61DF16CA" w14:textId="57F53E59" w:rsidR="002C2D5C" w:rsidRPr="004B77D6" w:rsidRDefault="002C2D5C" w:rsidP="002C2D5C">
      <w:pPr>
        <w:pStyle w:val="Caption"/>
        <w:jc w:val="both"/>
        <w:rPr>
          <w:sz w:val="18"/>
          <w:szCs w:val="18"/>
        </w:rPr>
      </w:pPr>
      <w:bookmarkStart w:id="91" w:name="_Ref2331458"/>
      <w:r w:rsidRPr="004B77D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4</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2</w:t>
      </w:r>
      <w:r w:rsidR="00BA4C32">
        <w:rPr>
          <w:sz w:val="18"/>
          <w:szCs w:val="18"/>
        </w:rPr>
        <w:fldChar w:fldCharType="end"/>
      </w:r>
      <w:bookmarkEnd w:id="91"/>
      <w:r w:rsidRPr="004B77D6">
        <w:rPr>
          <w:sz w:val="18"/>
          <w:szCs w:val="18"/>
        </w:rPr>
        <w:t xml:space="preserve">: Rates of tenure change in </w:t>
      </w:r>
      <w:r w:rsidR="0015105E">
        <w:rPr>
          <w:sz w:val="18"/>
          <w:szCs w:val="18"/>
        </w:rPr>
        <w:t>Weymouth</w:t>
      </w:r>
      <w:r w:rsidRPr="004B77D6">
        <w:rPr>
          <w:sz w:val="18"/>
          <w:szCs w:val="18"/>
        </w:rPr>
        <w:t>, 2001-2011</w:t>
      </w:r>
    </w:p>
    <w:tbl>
      <w:tblPr>
        <w:tblW w:w="4794" w:type="pct"/>
        <w:tblInd w:w="416" w:type="dxa"/>
        <w:tblLook w:val="04A0" w:firstRow="1" w:lastRow="0" w:firstColumn="1" w:lastColumn="0" w:noHBand="0" w:noVBand="1"/>
      </w:tblPr>
      <w:tblGrid>
        <w:gridCol w:w="2825"/>
        <w:gridCol w:w="2098"/>
        <w:gridCol w:w="2520"/>
        <w:gridCol w:w="1967"/>
      </w:tblGrid>
      <w:tr w:rsidR="00295831" w:rsidRPr="00803F9A" w14:paraId="7F8E9C56" w14:textId="77777777" w:rsidTr="00295831">
        <w:trPr>
          <w:trHeight w:val="288"/>
        </w:trPr>
        <w:tc>
          <w:tcPr>
            <w:tcW w:w="1501" w:type="pct"/>
            <w:tcBorders>
              <w:top w:val="single" w:sz="8" w:space="0" w:color="auto"/>
              <w:left w:val="single" w:sz="8" w:space="0" w:color="auto"/>
              <w:bottom w:val="single" w:sz="4" w:space="0" w:color="auto"/>
              <w:right w:val="single" w:sz="4" w:space="0" w:color="auto"/>
            </w:tcBorders>
            <w:shd w:val="clear" w:color="auto" w:fill="000000" w:themeFill="text1"/>
            <w:noWrap/>
            <w:vAlign w:val="center"/>
            <w:hideMark/>
          </w:tcPr>
          <w:p w14:paraId="467A31C1" w14:textId="2476D611" w:rsidR="00295831" w:rsidRPr="00295831" w:rsidRDefault="00295831" w:rsidP="00295831">
            <w:pPr>
              <w:jc w:val="both"/>
              <w:rPr>
                <w:b/>
                <w:bCs/>
                <w:color w:val="FFFFFF"/>
                <w:sz w:val="18"/>
                <w:szCs w:val="18"/>
              </w:rPr>
            </w:pPr>
            <w:r w:rsidRPr="00295831">
              <w:rPr>
                <w:b/>
                <w:bCs/>
                <w:color w:val="FFFFFF"/>
                <w:sz w:val="18"/>
                <w:szCs w:val="18"/>
              </w:rPr>
              <w:t>Tenure</w:t>
            </w:r>
          </w:p>
        </w:tc>
        <w:tc>
          <w:tcPr>
            <w:tcW w:w="1115" w:type="pct"/>
            <w:tcBorders>
              <w:top w:val="single" w:sz="8" w:space="0" w:color="auto"/>
              <w:left w:val="nil"/>
              <w:bottom w:val="single" w:sz="4" w:space="0" w:color="auto"/>
              <w:right w:val="single" w:sz="4" w:space="0" w:color="auto"/>
            </w:tcBorders>
            <w:shd w:val="clear" w:color="auto" w:fill="000000" w:themeFill="text1"/>
            <w:noWrap/>
            <w:vAlign w:val="center"/>
            <w:hideMark/>
          </w:tcPr>
          <w:p w14:paraId="58D381F1" w14:textId="6ECFCD45" w:rsidR="00295831" w:rsidRPr="00295831" w:rsidRDefault="00295831" w:rsidP="00295831">
            <w:pPr>
              <w:jc w:val="both"/>
              <w:rPr>
                <w:b/>
                <w:color w:val="FFFFFF" w:themeColor="background2"/>
                <w:sz w:val="18"/>
                <w:szCs w:val="18"/>
              </w:rPr>
            </w:pPr>
            <w:r w:rsidRPr="00295831">
              <w:rPr>
                <w:b/>
                <w:bCs/>
                <w:color w:val="FFFFFF"/>
                <w:sz w:val="18"/>
                <w:szCs w:val="18"/>
              </w:rPr>
              <w:t>Weymouth</w:t>
            </w:r>
          </w:p>
        </w:tc>
        <w:tc>
          <w:tcPr>
            <w:tcW w:w="1339" w:type="pct"/>
            <w:tcBorders>
              <w:top w:val="single" w:sz="8" w:space="0" w:color="auto"/>
              <w:left w:val="nil"/>
              <w:bottom w:val="single" w:sz="4" w:space="0" w:color="auto"/>
              <w:right w:val="single" w:sz="4" w:space="0" w:color="auto"/>
            </w:tcBorders>
            <w:shd w:val="clear" w:color="auto" w:fill="000000" w:themeFill="text1"/>
            <w:noWrap/>
            <w:vAlign w:val="center"/>
            <w:hideMark/>
          </w:tcPr>
          <w:p w14:paraId="452CE9AB" w14:textId="7B28A639" w:rsidR="00295831" w:rsidRPr="00295831" w:rsidRDefault="00295831" w:rsidP="00295831">
            <w:pPr>
              <w:jc w:val="both"/>
              <w:rPr>
                <w:b/>
                <w:color w:val="FFFFFF" w:themeColor="background2"/>
                <w:sz w:val="18"/>
                <w:szCs w:val="18"/>
              </w:rPr>
            </w:pPr>
            <w:r w:rsidRPr="00295831">
              <w:rPr>
                <w:b/>
                <w:bCs/>
                <w:color w:val="FFFFFF"/>
                <w:sz w:val="18"/>
                <w:szCs w:val="18"/>
              </w:rPr>
              <w:t>Dorset</w:t>
            </w:r>
            <w:r w:rsidR="006257CB">
              <w:rPr>
                <w:rStyle w:val="FootnoteReference"/>
                <w:b/>
                <w:bCs/>
                <w:sz w:val="18"/>
                <w:szCs w:val="18"/>
              </w:rPr>
              <w:footnoteReference w:id="21"/>
            </w:r>
          </w:p>
        </w:tc>
        <w:tc>
          <w:tcPr>
            <w:tcW w:w="1045" w:type="pct"/>
            <w:tcBorders>
              <w:top w:val="single" w:sz="8" w:space="0" w:color="auto"/>
              <w:left w:val="nil"/>
              <w:bottom w:val="single" w:sz="4" w:space="0" w:color="auto"/>
              <w:right w:val="single" w:sz="8" w:space="0" w:color="auto"/>
            </w:tcBorders>
            <w:shd w:val="clear" w:color="auto" w:fill="000000" w:themeFill="text1"/>
            <w:noWrap/>
            <w:vAlign w:val="center"/>
            <w:hideMark/>
          </w:tcPr>
          <w:p w14:paraId="670D2D45" w14:textId="4B0A8E8B" w:rsidR="00295831" w:rsidRPr="00295831" w:rsidRDefault="00295831" w:rsidP="00295831">
            <w:pPr>
              <w:jc w:val="both"/>
              <w:rPr>
                <w:b/>
                <w:color w:val="FFFFFF" w:themeColor="background2"/>
                <w:sz w:val="18"/>
                <w:szCs w:val="18"/>
              </w:rPr>
            </w:pPr>
            <w:r w:rsidRPr="00295831">
              <w:rPr>
                <w:b/>
                <w:bCs/>
                <w:color w:val="FFFFFF"/>
                <w:sz w:val="18"/>
                <w:szCs w:val="18"/>
              </w:rPr>
              <w:t>England</w:t>
            </w:r>
          </w:p>
        </w:tc>
      </w:tr>
      <w:tr w:rsidR="00295831" w:rsidRPr="00803F9A" w14:paraId="578C4BC5" w14:textId="77777777" w:rsidTr="00295831">
        <w:trPr>
          <w:trHeight w:val="288"/>
        </w:trPr>
        <w:tc>
          <w:tcPr>
            <w:tcW w:w="1501" w:type="pct"/>
            <w:tcBorders>
              <w:top w:val="nil"/>
              <w:left w:val="single" w:sz="8" w:space="0" w:color="auto"/>
              <w:bottom w:val="single" w:sz="4" w:space="0" w:color="auto"/>
              <w:right w:val="single" w:sz="4" w:space="0" w:color="auto"/>
            </w:tcBorders>
            <w:shd w:val="clear" w:color="auto" w:fill="auto"/>
            <w:noWrap/>
            <w:vAlign w:val="center"/>
            <w:hideMark/>
          </w:tcPr>
          <w:p w14:paraId="1D107B24" w14:textId="1E40C94E" w:rsidR="00295831" w:rsidRPr="00295831" w:rsidRDefault="00295831" w:rsidP="00295831">
            <w:pPr>
              <w:jc w:val="both"/>
              <w:rPr>
                <w:sz w:val="18"/>
                <w:szCs w:val="18"/>
              </w:rPr>
            </w:pPr>
            <w:r w:rsidRPr="00295831">
              <w:rPr>
                <w:sz w:val="18"/>
                <w:szCs w:val="18"/>
              </w:rPr>
              <w:t>Owned; total</w:t>
            </w:r>
          </w:p>
        </w:tc>
        <w:tc>
          <w:tcPr>
            <w:tcW w:w="1115" w:type="pct"/>
            <w:tcBorders>
              <w:top w:val="nil"/>
              <w:left w:val="nil"/>
              <w:bottom w:val="single" w:sz="4" w:space="0" w:color="auto"/>
              <w:right w:val="single" w:sz="4" w:space="0" w:color="auto"/>
            </w:tcBorders>
            <w:shd w:val="clear" w:color="auto" w:fill="auto"/>
            <w:noWrap/>
            <w:vAlign w:val="center"/>
            <w:hideMark/>
          </w:tcPr>
          <w:p w14:paraId="1C50DD23" w14:textId="1FC8B08B" w:rsidR="00295831" w:rsidRPr="00295831" w:rsidRDefault="00295831" w:rsidP="00295831">
            <w:pPr>
              <w:jc w:val="both"/>
              <w:rPr>
                <w:sz w:val="18"/>
                <w:szCs w:val="18"/>
              </w:rPr>
            </w:pPr>
            <w:r w:rsidRPr="00295831">
              <w:rPr>
                <w:sz w:val="18"/>
                <w:szCs w:val="18"/>
              </w:rPr>
              <w:t>-4.1%</w:t>
            </w:r>
          </w:p>
        </w:tc>
        <w:tc>
          <w:tcPr>
            <w:tcW w:w="1339" w:type="pct"/>
            <w:tcBorders>
              <w:top w:val="nil"/>
              <w:left w:val="nil"/>
              <w:bottom w:val="single" w:sz="4" w:space="0" w:color="auto"/>
              <w:right w:val="single" w:sz="4" w:space="0" w:color="auto"/>
            </w:tcBorders>
            <w:shd w:val="clear" w:color="auto" w:fill="auto"/>
            <w:noWrap/>
            <w:vAlign w:val="center"/>
            <w:hideMark/>
          </w:tcPr>
          <w:p w14:paraId="65403F03" w14:textId="6386E81A" w:rsidR="00295831" w:rsidRPr="00295831" w:rsidRDefault="00295831" w:rsidP="00295831">
            <w:pPr>
              <w:jc w:val="both"/>
              <w:rPr>
                <w:sz w:val="18"/>
                <w:szCs w:val="18"/>
              </w:rPr>
            </w:pPr>
            <w:r w:rsidRPr="00295831">
              <w:rPr>
                <w:sz w:val="18"/>
                <w:szCs w:val="18"/>
              </w:rPr>
              <w:t>2.0%</w:t>
            </w:r>
          </w:p>
        </w:tc>
        <w:tc>
          <w:tcPr>
            <w:tcW w:w="1045" w:type="pct"/>
            <w:tcBorders>
              <w:top w:val="nil"/>
              <w:left w:val="nil"/>
              <w:bottom w:val="single" w:sz="4" w:space="0" w:color="auto"/>
              <w:right w:val="single" w:sz="8" w:space="0" w:color="auto"/>
            </w:tcBorders>
            <w:shd w:val="clear" w:color="auto" w:fill="auto"/>
            <w:noWrap/>
            <w:vAlign w:val="center"/>
            <w:hideMark/>
          </w:tcPr>
          <w:p w14:paraId="6CBE31E0" w14:textId="482A8E99" w:rsidR="00295831" w:rsidRPr="00295831" w:rsidRDefault="00295831" w:rsidP="00295831">
            <w:pPr>
              <w:jc w:val="both"/>
              <w:rPr>
                <w:sz w:val="18"/>
                <w:szCs w:val="18"/>
              </w:rPr>
            </w:pPr>
            <w:r w:rsidRPr="00295831">
              <w:rPr>
                <w:sz w:val="18"/>
                <w:szCs w:val="18"/>
              </w:rPr>
              <w:t>-0.6%</w:t>
            </w:r>
          </w:p>
        </w:tc>
      </w:tr>
      <w:tr w:rsidR="00295831" w:rsidRPr="00803F9A" w14:paraId="60189A81" w14:textId="77777777" w:rsidTr="00295831">
        <w:trPr>
          <w:trHeight w:val="288"/>
        </w:trPr>
        <w:tc>
          <w:tcPr>
            <w:tcW w:w="1501" w:type="pct"/>
            <w:tcBorders>
              <w:top w:val="nil"/>
              <w:left w:val="single" w:sz="8" w:space="0" w:color="auto"/>
              <w:bottom w:val="single" w:sz="4" w:space="0" w:color="auto"/>
              <w:right w:val="single" w:sz="4" w:space="0" w:color="auto"/>
            </w:tcBorders>
            <w:shd w:val="clear" w:color="auto" w:fill="auto"/>
            <w:noWrap/>
            <w:vAlign w:val="center"/>
            <w:hideMark/>
          </w:tcPr>
          <w:p w14:paraId="3C43A5E6" w14:textId="4CE00A2A" w:rsidR="00295831" w:rsidRPr="00295831" w:rsidRDefault="00295831" w:rsidP="00295831">
            <w:pPr>
              <w:jc w:val="both"/>
              <w:rPr>
                <w:sz w:val="18"/>
                <w:szCs w:val="18"/>
              </w:rPr>
            </w:pPr>
            <w:r w:rsidRPr="00295831">
              <w:rPr>
                <w:sz w:val="18"/>
                <w:szCs w:val="18"/>
              </w:rPr>
              <w:t xml:space="preserve">Shared ownership </w:t>
            </w:r>
          </w:p>
        </w:tc>
        <w:tc>
          <w:tcPr>
            <w:tcW w:w="1115" w:type="pct"/>
            <w:tcBorders>
              <w:top w:val="nil"/>
              <w:left w:val="nil"/>
              <w:bottom w:val="single" w:sz="4" w:space="0" w:color="auto"/>
              <w:right w:val="single" w:sz="4" w:space="0" w:color="auto"/>
            </w:tcBorders>
            <w:shd w:val="clear" w:color="auto" w:fill="auto"/>
            <w:noWrap/>
            <w:vAlign w:val="center"/>
            <w:hideMark/>
          </w:tcPr>
          <w:p w14:paraId="0A404086" w14:textId="02F7CE4F" w:rsidR="00295831" w:rsidRPr="00295831" w:rsidRDefault="00295831" w:rsidP="00295831">
            <w:pPr>
              <w:jc w:val="both"/>
              <w:rPr>
                <w:sz w:val="18"/>
                <w:szCs w:val="18"/>
              </w:rPr>
            </w:pPr>
            <w:r w:rsidRPr="00295831">
              <w:rPr>
                <w:sz w:val="18"/>
                <w:szCs w:val="18"/>
              </w:rPr>
              <w:t>59.3%</w:t>
            </w:r>
          </w:p>
        </w:tc>
        <w:tc>
          <w:tcPr>
            <w:tcW w:w="1339" w:type="pct"/>
            <w:tcBorders>
              <w:top w:val="nil"/>
              <w:left w:val="nil"/>
              <w:bottom w:val="single" w:sz="4" w:space="0" w:color="auto"/>
              <w:right w:val="single" w:sz="4" w:space="0" w:color="auto"/>
            </w:tcBorders>
            <w:shd w:val="clear" w:color="auto" w:fill="auto"/>
            <w:noWrap/>
            <w:vAlign w:val="center"/>
            <w:hideMark/>
          </w:tcPr>
          <w:p w14:paraId="5DF81198" w14:textId="10123C2F" w:rsidR="00295831" w:rsidRPr="00295831" w:rsidRDefault="00295831" w:rsidP="00295831">
            <w:pPr>
              <w:jc w:val="both"/>
              <w:rPr>
                <w:sz w:val="18"/>
                <w:szCs w:val="18"/>
              </w:rPr>
            </w:pPr>
            <w:r w:rsidRPr="00295831">
              <w:rPr>
                <w:sz w:val="18"/>
                <w:szCs w:val="18"/>
              </w:rPr>
              <w:t>45.1%</w:t>
            </w:r>
          </w:p>
        </w:tc>
        <w:tc>
          <w:tcPr>
            <w:tcW w:w="1045" w:type="pct"/>
            <w:tcBorders>
              <w:top w:val="nil"/>
              <w:left w:val="nil"/>
              <w:bottom w:val="single" w:sz="4" w:space="0" w:color="auto"/>
              <w:right w:val="single" w:sz="8" w:space="0" w:color="auto"/>
            </w:tcBorders>
            <w:shd w:val="clear" w:color="auto" w:fill="auto"/>
            <w:noWrap/>
            <w:vAlign w:val="center"/>
            <w:hideMark/>
          </w:tcPr>
          <w:p w14:paraId="10C7E7E9" w14:textId="36532996" w:rsidR="00295831" w:rsidRPr="00295831" w:rsidRDefault="00295831" w:rsidP="00295831">
            <w:pPr>
              <w:jc w:val="both"/>
              <w:rPr>
                <w:sz w:val="18"/>
                <w:szCs w:val="18"/>
              </w:rPr>
            </w:pPr>
            <w:r w:rsidRPr="00295831">
              <w:rPr>
                <w:sz w:val="18"/>
                <w:szCs w:val="18"/>
              </w:rPr>
              <w:t>30.0%</w:t>
            </w:r>
          </w:p>
        </w:tc>
      </w:tr>
      <w:tr w:rsidR="00295831" w:rsidRPr="00803F9A" w14:paraId="07844D00" w14:textId="77777777" w:rsidTr="00295831">
        <w:trPr>
          <w:trHeight w:val="288"/>
        </w:trPr>
        <w:tc>
          <w:tcPr>
            <w:tcW w:w="1501" w:type="pct"/>
            <w:tcBorders>
              <w:top w:val="nil"/>
              <w:left w:val="single" w:sz="8" w:space="0" w:color="auto"/>
              <w:bottom w:val="single" w:sz="4" w:space="0" w:color="auto"/>
              <w:right w:val="single" w:sz="4" w:space="0" w:color="auto"/>
            </w:tcBorders>
            <w:shd w:val="clear" w:color="auto" w:fill="auto"/>
            <w:noWrap/>
            <w:vAlign w:val="center"/>
            <w:hideMark/>
          </w:tcPr>
          <w:p w14:paraId="2AEC1DEE" w14:textId="59F9F7E9" w:rsidR="00295831" w:rsidRPr="00295831" w:rsidRDefault="00295831" w:rsidP="00295831">
            <w:pPr>
              <w:jc w:val="both"/>
              <w:rPr>
                <w:sz w:val="18"/>
                <w:szCs w:val="18"/>
              </w:rPr>
            </w:pPr>
            <w:r w:rsidRPr="00295831">
              <w:rPr>
                <w:sz w:val="18"/>
                <w:szCs w:val="18"/>
              </w:rPr>
              <w:t>Social rented; total</w:t>
            </w:r>
          </w:p>
        </w:tc>
        <w:tc>
          <w:tcPr>
            <w:tcW w:w="1115" w:type="pct"/>
            <w:tcBorders>
              <w:top w:val="nil"/>
              <w:left w:val="nil"/>
              <w:bottom w:val="single" w:sz="4" w:space="0" w:color="auto"/>
              <w:right w:val="single" w:sz="4" w:space="0" w:color="auto"/>
            </w:tcBorders>
            <w:shd w:val="clear" w:color="auto" w:fill="auto"/>
            <w:noWrap/>
            <w:vAlign w:val="center"/>
            <w:hideMark/>
          </w:tcPr>
          <w:p w14:paraId="3F450FD9" w14:textId="0E06F483" w:rsidR="00295831" w:rsidRPr="00295831" w:rsidRDefault="00295831" w:rsidP="00295831">
            <w:pPr>
              <w:jc w:val="both"/>
              <w:rPr>
                <w:sz w:val="18"/>
                <w:szCs w:val="18"/>
              </w:rPr>
            </w:pPr>
            <w:r w:rsidRPr="00295831">
              <w:rPr>
                <w:sz w:val="18"/>
                <w:szCs w:val="18"/>
              </w:rPr>
              <w:t>9.5%</w:t>
            </w:r>
          </w:p>
        </w:tc>
        <w:tc>
          <w:tcPr>
            <w:tcW w:w="1339" w:type="pct"/>
            <w:tcBorders>
              <w:top w:val="nil"/>
              <w:left w:val="nil"/>
              <w:bottom w:val="single" w:sz="4" w:space="0" w:color="auto"/>
              <w:right w:val="single" w:sz="4" w:space="0" w:color="auto"/>
            </w:tcBorders>
            <w:shd w:val="clear" w:color="auto" w:fill="auto"/>
            <w:noWrap/>
            <w:vAlign w:val="center"/>
            <w:hideMark/>
          </w:tcPr>
          <w:p w14:paraId="577DD03F" w14:textId="7627FA46" w:rsidR="00295831" w:rsidRPr="00295831" w:rsidRDefault="00295831" w:rsidP="00295831">
            <w:pPr>
              <w:jc w:val="both"/>
              <w:rPr>
                <w:sz w:val="18"/>
                <w:szCs w:val="18"/>
              </w:rPr>
            </w:pPr>
            <w:r w:rsidRPr="00295831">
              <w:rPr>
                <w:sz w:val="18"/>
                <w:szCs w:val="18"/>
              </w:rPr>
              <w:t>9.5%</w:t>
            </w:r>
          </w:p>
        </w:tc>
        <w:tc>
          <w:tcPr>
            <w:tcW w:w="1045" w:type="pct"/>
            <w:tcBorders>
              <w:top w:val="nil"/>
              <w:left w:val="nil"/>
              <w:bottom w:val="single" w:sz="4" w:space="0" w:color="auto"/>
              <w:right w:val="single" w:sz="8" w:space="0" w:color="auto"/>
            </w:tcBorders>
            <w:shd w:val="clear" w:color="auto" w:fill="auto"/>
            <w:noWrap/>
            <w:vAlign w:val="center"/>
            <w:hideMark/>
          </w:tcPr>
          <w:p w14:paraId="10AAE79E" w14:textId="3BC3E789" w:rsidR="00295831" w:rsidRPr="00295831" w:rsidRDefault="00295831" w:rsidP="00295831">
            <w:pPr>
              <w:jc w:val="both"/>
              <w:rPr>
                <w:sz w:val="18"/>
                <w:szCs w:val="18"/>
              </w:rPr>
            </w:pPr>
            <w:r w:rsidRPr="00295831">
              <w:rPr>
                <w:sz w:val="18"/>
                <w:szCs w:val="18"/>
              </w:rPr>
              <w:t>-0.9%</w:t>
            </w:r>
          </w:p>
        </w:tc>
      </w:tr>
      <w:tr w:rsidR="00295831" w:rsidRPr="00803F9A" w14:paraId="2ACC9EFA" w14:textId="77777777" w:rsidTr="00295831">
        <w:trPr>
          <w:trHeight w:val="300"/>
        </w:trPr>
        <w:tc>
          <w:tcPr>
            <w:tcW w:w="1501" w:type="pct"/>
            <w:tcBorders>
              <w:top w:val="nil"/>
              <w:left w:val="single" w:sz="8" w:space="0" w:color="auto"/>
              <w:bottom w:val="single" w:sz="8" w:space="0" w:color="auto"/>
              <w:right w:val="single" w:sz="4" w:space="0" w:color="auto"/>
            </w:tcBorders>
            <w:shd w:val="clear" w:color="auto" w:fill="auto"/>
            <w:noWrap/>
            <w:vAlign w:val="center"/>
            <w:hideMark/>
          </w:tcPr>
          <w:p w14:paraId="798AC01B" w14:textId="4E6DF7BA" w:rsidR="00295831" w:rsidRPr="00295831" w:rsidRDefault="00295831" w:rsidP="00295831">
            <w:pPr>
              <w:jc w:val="both"/>
              <w:rPr>
                <w:sz w:val="18"/>
                <w:szCs w:val="18"/>
              </w:rPr>
            </w:pPr>
            <w:r w:rsidRPr="00295831">
              <w:rPr>
                <w:sz w:val="18"/>
                <w:szCs w:val="18"/>
              </w:rPr>
              <w:t>Private rented; total</w:t>
            </w:r>
          </w:p>
        </w:tc>
        <w:tc>
          <w:tcPr>
            <w:tcW w:w="1115" w:type="pct"/>
            <w:tcBorders>
              <w:top w:val="nil"/>
              <w:left w:val="nil"/>
              <w:bottom w:val="single" w:sz="8" w:space="0" w:color="auto"/>
              <w:right w:val="single" w:sz="4" w:space="0" w:color="auto"/>
            </w:tcBorders>
            <w:shd w:val="clear" w:color="auto" w:fill="auto"/>
            <w:noWrap/>
            <w:vAlign w:val="center"/>
            <w:hideMark/>
          </w:tcPr>
          <w:p w14:paraId="5AF8B41C" w14:textId="132659C4" w:rsidR="00295831" w:rsidRPr="00295831" w:rsidRDefault="00295831" w:rsidP="00295831">
            <w:pPr>
              <w:jc w:val="both"/>
              <w:rPr>
                <w:sz w:val="18"/>
                <w:szCs w:val="18"/>
              </w:rPr>
            </w:pPr>
            <w:r w:rsidRPr="00295831">
              <w:rPr>
                <w:sz w:val="18"/>
                <w:szCs w:val="18"/>
              </w:rPr>
              <w:t>75.2%</w:t>
            </w:r>
          </w:p>
        </w:tc>
        <w:tc>
          <w:tcPr>
            <w:tcW w:w="1339" w:type="pct"/>
            <w:tcBorders>
              <w:top w:val="nil"/>
              <w:left w:val="nil"/>
              <w:bottom w:val="single" w:sz="8" w:space="0" w:color="auto"/>
              <w:right w:val="single" w:sz="4" w:space="0" w:color="auto"/>
            </w:tcBorders>
            <w:shd w:val="clear" w:color="auto" w:fill="auto"/>
            <w:noWrap/>
            <w:vAlign w:val="center"/>
            <w:hideMark/>
          </w:tcPr>
          <w:p w14:paraId="12226A05" w14:textId="77F7CF5D" w:rsidR="00295831" w:rsidRPr="00295831" w:rsidRDefault="00295831" w:rsidP="00295831">
            <w:pPr>
              <w:jc w:val="both"/>
              <w:rPr>
                <w:sz w:val="18"/>
                <w:szCs w:val="18"/>
              </w:rPr>
            </w:pPr>
            <w:r w:rsidRPr="00295831">
              <w:rPr>
                <w:sz w:val="18"/>
                <w:szCs w:val="18"/>
              </w:rPr>
              <w:t>84.9%</w:t>
            </w:r>
          </w:p>
        </w:tc>
        <w:tc>
          <w:tcPr>
            <w:tcW w:w="1045" w:type="pct"/>
            <w:tcBorders>
              <w:top w:val="nil"/>
              <w:left w:val="nil"/>
              <w:bottom w:val="single" w:sz="8" w:space="0" w:color="auto"/>
              <w:right w:val="single" w:sz="8" w:space="0" w:color="auto"/>
            </w:tcBorders>
            <w:shd w:val="clear" w:color="auto" w:fill="auto"/>
            <w:noWrap/>
            <w:vAlign w:val="center"/>
            <w:hideMark/>
          </w:tcPr>
          <w:p w14:paraId="4D49FF1B" w14:textId="075072E3" w:rsidR="00295831" w:rsidRPr="00295831" w:rsidRDefault="00295831" w:rsidP="00295831">
            <w:pPr>
              <w:jc w:val="both"/>
              <w:rPr>
                <w:sz w:val="18"/>
                <w:szCs w:val="18"/>
              </w:rPr>
            </w:pPr>
            <w:r w:rsidRPr="00295831">
              <w:rPr>
                <w:sz w:val="18"/>
                <w:szCs w:val="18"/>
              </w:rPr>
              <w:t>82.4%</w:t>
            </w:r>
          </w:p>
        </w:tc>
      </w:tr>
    </w:tbl>
    <w:p w14:paraId="06FBB371" w14:textId="4E080D9D" w:rsidR="002C2D5C" w:rsidRPr="005901AE" w:rsidRDefault="002C2D5C" w:rsidP="002C2D5C">
      <w:pPr>
        <w:pStyle w:val="Source"/>
        <w:jc w:val="both"/>
      </w:pPr>
      <w:r w:rsidRPr="005901AE">
        <w:t>Source</w:t>
      </w:r>
      <w:r w:rsidR="00C378B2">
        <w:t>s</w:t>
      </w:r>
      <w:r w:rsidRPr="005901AE">
        <w:t>: Census</w:t>
      </w:r>
      <w:r w:rsidR="00C378B2">
        <w:t>es</w:t>
      </w:r>
      <w:r w:rsidRPr="005901AE">
        <w:t xml:space="preserve"> 2001 and 2011, AECOM Calculations</w:t>
      </w:r>
    </w:p>
    <w:p w14:paraId="011FA8A2" w14:textId="38EAC4B7" w:rsidR="002C2D5C" w:rsidRPr="00817582" w:rsidRDefault="002C2D5C" w:rsidP="002C2D5C">
      <w:pPr>
        <w:pStyle w:val="Heading2"/>
        <w:jc w:val="both"/>
      </w:pPr>
      <w:bookmarkStart w:id="92" w:name="_Toc500759110"/>
      <w:bookmarkStart w:id="93" w:name="_Toc521491990"/>
      <w:bookmarkStart w:id="94" w:name="_Toc536797444"/>
      <w:bookmarkStart w:id="95" w:name="_Toc2690275"/>
      <w:bookmarkStart w:id="96" w:name="_Toc64026798"/>
      <w:r w:rsidRPr="00817582">
        <w:t>Affordability</w:t>
      </w:r>
      <w:bookmarkEnd w:id="92"/>
      <w:bookmarkEnd w:id="93"/>
      <w:bookmarkEnd w:id="94"/>
      <w:bookmarkEnd w:id="95"/>
      <w:bookmarkEnd w:id="96"/>
    </w:p>
    <w:p w14:paraId="038AF762" w14:textId="2792ACA1" w:rsidR="0001783C" w:rsidRDefault="00DF4EC9" w:rsidP="00A82210">
      <w:pPr>
        <w:pStyle w:val="ListNumber"/>
      </w:pPr>
      <w:r>
        <w:t>Having revie</w:t>
      </w:r>
      <w:r w:rsidR="0001783C">
        <w:t xml:space="preserve">wed the </w:t>
      </w:r>
      <w:r w:rsidR="00B808FC">
        <w:t xml:space="preserve">tenure of the </w:t>
      </w:r>
      <w:r w:rsidR="0001783C">
        <w:t xml:space="preserve">existing housing stock in </w:t>
      </w:r>
      <w:r w:rsidR="0015105E">
        <w:t>Weymouth</w:t>
      </w:r>
      <w:r w:rsidR="0001783C">
        <w:t xml:space="preserve"> </w:t>
      </w:r>
      <w:r w:rsidRPr="008E553A">
        <w:t>and the findings of the SHMA</w:t>
      </w:r>
      <w:r>
        <w:t xml:space="preserve">, </w:t>
      </w:r>
      <w:r w:rsidR="004A24C8">
        <w:t xml:space="preserve">this report </w:t>
      </w:r>
      <w:r>
        <w:t>assess</w:t>
      </w:r>
      <w:r w:rsidR="00451797">
        <w:t xml:space="preserve">es the affordability of homes to those living in the </w:t>
      </w:r>
      <w:r>
        <w:t>Neig</w:t>
      </w:r>
      <w:r w:rsidR="0001783C">
        <w:t>hbourhood Plan</w:t>
      </w:r>
      <w:r w:rsidR="00451797">
        <w:t xml:space="preserve"> area</w:t>
      </w:r>
      <w:r w:rsidR="0001783C">
        <w:t xml:space="preserve">. </w:t>
      </w:r>
    </w:p>
    <w:p w14:paraId="3694F345" w14:textId="24DA9DCC" w:rsidR="002C2D5C" w:rsidRDefault="00F26969" w:rsidP="00A82210">
      <w:pPr>
        <w:pStyle w:val="ListNumber"/>
      </w:pPr>
      <w:r>
        <w:t>The following analysis considers house prices and rents in the neighbourhood area and whether these are affordable to local households on the basis of their incomes or earnings</w:t>
      </w:r>
      <w:r w:rsidR="002C2D5C" w:rsidRPr="00C378B2">
        <w:t>.</w:t>
      </w:r>
      <w:r>
        <w:t xml:space="preserve"> Poor or worsening affordability o</w:t>
      </w:r>
      <w:r w:rsidR="00BA4C32">
        <w:t>f</w:t>
      </w:r>
      <w:r>
        <w:t xml:space="preserve"> homes to rent or buy can indicate the need to provide</w:t>
      </w:r>
      <w:r w:rsidR="00BA4C32">
        <w:t xml:space="preserve"> more</w:t>
      </w:r>
      <w:r>
        <w:t xml:space="preserve"> Affordable Housing.  </w:t>
      </w:r>
    </w:p>
    <w:p w14:paraId="7100DF24" w14:textId="497D4BBC" w:rsidR="00D272A0" w:rsidRPr="00C378B2" w:rsidRDefault="00D272A0" w:rsidP="00D272A0">
      <w:pPr>
        <w:pStyle w:val="Heading3"/>
      </w:pPr>
      <w:bookmarkStart w:id="97" w:name="_Toc64026799"/>
      <w:r>
        <w:t>House prices</w:t>
      </w:r>
      <w:bookmarkEnd w:id="97"/>
    </w:p>
    <w:p w14:paraId="08F7E5A6" w14:textId="77777777" w:rsidR="009951EE" w:rsidRDefault="008E7BF0" w:rsidP="00A82210">
      <w:pPr>
        <w:pStyle w:val="ListNumber"/>
      </w:pPr>
      <w:r>
        <w:t>House prices provide an indication of the level of demand for homes within an area</w:t>
      </w:r>
      <w:r w:rsidR="009951EE">
        <w:t xml:space="preserve">. The relationship between house prices and incomes determines whether housing is affordable to local households and, to a large extent, what tenure, type and size of home they occupy. Changes in affordability over time can indicate pressures in the housing market. As such, it is useful for the evidence base for plans to examine trends in prices and consider what this reveals about the local housing market. </w:t>
      </w:r>
    </w:p>
    <w:bookmarkStart w:id="98" w:name="_Hlk62555952"/>
    <w:p w14:paraId="2A1776E5" w14:textId="3D016930" w:rsidR="008E553A" w:rsidRDefault="002C2D5C" w:rsidP="008E553A">
      <w:pPr>
        <w:pStyle w:val="ListNumber"/>
        <w:rPr>
          <w:rFonts w:eastAsiaTheme="minorHAnsi"/>
          <w:lang w:eastAsia="en-US"/>
        </w:rPr>
      </w:pPr>
      <w:r w:rsidRPr="00C378B2">
        <w:fldChar w:fldCharType="begin"/>
      </w:r>
      <w:r w:rsidRPr="00C378B2">
        <w:instrText xml:space="preserve"> REF _Ref2332387 \h  \* MERGEFORMAT </w:instrText>
      </w:r>
      <w:r w:rsidRPr="00C378B2">
        <w:fldChar w:fldCharType="separate"/>
      </w:r>
      <w:r w:rsidR="00E14AFB" w:rsidRPr="004B77D6">
        <w:t xml:space="preserve">Figure </w:t>
      </w:r>
      <w:r w:rsidR="00603781">
        <w:rPr>
          <w:noProof/>
        </w:rPr>
        <w:t>4-1</w:t>
      </w:r>
      <w:r w:rsidRPr="00C378B2">
        <w:fldChar w:fldCharType="end"/>
      </w:r>
      <w:r w:rsidRPr="00C378B2">
        <w:t xml:space="preserve"> on the following page looks at selected measures of house prices in </w:t>
      </w:r>
      <w:r w:rsidR="0015105E">
        <w:t>Weymouth</w:t>
      </w:r>
      <w:r w:rsidRPr="00C378B2">
        <w:t xml:space="preserve">. </w:t>
      </w:r>
      <w:r w:rsidR="00C378B2">
        <w:t xml:space="preserve">It </w:t>
      </w:r>
      <w:r w:rsidRPr="00C378B2">
        <w:t xml:space="preserve">shows that </w:t>
      </w:r>
      <w:r w:rsidR="008E553A">
        <w:t xml:space="preserve">prices have generally increased from 2011-2020, although not steeply. The trajectories of average house price increases in Weymouth have generally been </w:t>
      </w:r>
      <w:r w:rsidR="009321B1">
        <w:t>similar</w:t>
      </w:r>
      <w:r w:rsidR="008E553A">
        <w:t xml:space="preserve"> for the mean, median and lower quartile prices, with the only exception being a spike in mean prices, which slightly </w:t>
      </w:r>
      <w:r w:rsidR="008E553A" w:rsidRPr="008E553A">
        <w:rPr>
          <w:rFonts w:eastAsiaTheme="minorHAnsi"/>
          <w:lang w:eastAsia="en-US"/>
        </w:rPr>
        <w:t>widen</w:t>
      </w:r>
      <w:r w:rsidR="008E553A">
        <w:rPr>
          <w:rFonts w:eastAsiaTheme="minorHAnsi"/>
          <w:lang w:eastAsia="en-US"/>
        </w:rPr>
        <w:t>ed</w:t>
      </w:r>
      <w:r w:rsidR="008E553A" w:rsidRPr="008E553A">
        <w:rPr>
          <w:rFonts w:eastAsiaTheme="minorHAnsi"/>
          <w:lang w:eastAsia="en-US"/>
        </w:rPr>
        <w:t xml:space="preserve"> the gap between mean and median prices</w:t>
      </w:r>
      <w:r w:rsidR="00A73A45">
        <w:rPr>
          <w:rFonts w:eastAsiaTheme="minorHAnsi"/>
          <w:lang w:eastAsia="en-US"/>
        </w:rPr>
        <w:t>,</w:t>
      </w:r>
      <w:r w:rsidR="008E553A" w:rsidRPr="008E553A">
        <w:rPr>
          <w:rFonts w:eastAsiaTheme="minorHAnsi"/>
          <w:lang w:eastAsia="en-US"/>
        </w:rPr>
        <w:t xml:space="preserve"> </w:t>
      </w:r>
      <w:r w:rsidR="008E553A">
        <w:rPr>
          <w:rFonts w:eastAsiaTheme="minorHAnsi"/>
          <w:lang w:eastAsia="en-US"/>
        </w:rPr>
        <w:t>in 2013</w:t>
      </w:r>
      <w:r w:rsidR="009321B1">
        <w:rPr>
          <w:rFonts w:eastAsiaTheme="minorHAnsi"/>
          <w:lang w:eastAsia="en-US"/>
        </w:rPr>
        <w:t>. This</w:t>
      </w:r>
      <w:r w:rsidR="008E553A" w:rsidRPr="008E553A">
        <w:rPr>
          <w:rFonts w:eastAsiaTheme="minorHAnsi"/>
          <w:lang w:eastAsia="en-US"/>
        </w:rPr>
        <w:t xml:space="preserve"> was remedied by mean prices</w:t>
      </w:r>
      <w:r w:rsidR="008E553A">
        <w:rPr>
          <w:rFonts w:eastAsiaTheme="minorHAnsi"/>
          <w:lang w:eastAsia="en-US"/>
        </w:rPr>
        <w:t xml:space="preserve"> dipping again in 2014.</w:t>
      </w:r>
      <w:r w:rsidR="008E553A" w:rsidRPr="008E553A">
        <w:rPr>
          <w:rFonts w:eastAsiaTheme="minorHAnsi"/>
          <w:lang w:eastAsia="en-US"/>
        </w:rPr>
        <w:t xml:space="preserve"> </w:t>
      </w:r>
      <w:r w:rsidR="008E553A">
        <w:rPr>
          <w:rFonts w:eastAsiaTheme="minorHAnsi"/>
          <w:lang w:eastAsia="en-US"/>
        </w:rPr>
        <w:t xml:space="preserve">Lower quartile prices, by definition, are the lower of the three measures. The mean </w:t>
      </w:r>
      <w:r w:rsidR="009321B1">
        <w:rPr>
          <w:rFonts w:eastAsiaTheme="minorHAnsi"/>
          <w:lang w:eastAsia="en-US"/>
        </w:rPr>
        <w:t xml:space="preserve">(average) </w:t>
      </w:r>
      <w:r w:rsidR="008E553A">
        <w:rPr>
          <w:rFonts w:eastAsiaTheme="minorHAnsi"/>
          <w:lang w:eastAsia="en-US"/>
        </w:rPr>
        <w:t xml:space="preserve">was consistently higher than the median, and the most volatile of the measures. </w:t>
      </w:r>
    </w:p>
    <w:p w14:paraId="1259C582" w14:textId="2482CEAC" w:rsidR="009321B1" w:rsidRDefault="008E553A" w:rsidP="008E553A">
      <w:pPr>
        <w:pStyle w:val="ListNumber"/>
      </w:pPr>
      <w:r w:rsidRPr="00B73FED">
        <w:t>The median (</w:t>
      </w:r>
      <w:r w:rsidRPr="00B73FED">
        <w:rPr>
          <w:lang w:val="en"/>
        </w:rPr>
        <w:t xml:space="preserve">the </w:t>
      </w:r>
      <w:r>
        <w:rPr>
          <w:lang w:val="en"/>
        </w:rPr>
        <w:t>“</w:t>
      </w:r>
      <w:r w:rsidRPr="00B73FED">
        <w:rPr>
          <w:lang w:val="en"/>
        </w:rPr>
        <w:t>middle</w:t>
      </w:r>
      <w:r>
        <w:rPr>
          <w:lang w:val="en"/>
        </w:rPr>
        <w:t>”</w:t>
      </w:r>
      <w:r w:rsidRPr="00B73FED">
        <w:rPr>
          <w:lang w:val="en"/>
        </w:rPr>
        <w:t xml:space="preserve"> value in the list of house prices arranged from least to most) has shown a similar but slightly lower trajectory</w:t>
      </w:r>
      <w:r w:rsidR="00A73A45">
        <w:rPr>
          <w:lang w:val="en"/>
        </w:rPr>
        <w:t xml:space="preserve"> than the mean (average)</w:t>
      </w:r>
      <w:r w:rsidRPr="00B73FED">
        <w:rPr>
          <w:lang w:val="en"/>
        </w:rPr>
        <w:t>. This is the</w:t>
      </w:r>
      <w:r w:rsidR="009321B1">
        <w:rPr>
          <w:lang w:val="en"/>
        </w:rPr>
        <w:t xml:space="preserve"> </w:t>
      </w:r>
      <w:r w:rsidRPr="00B73FED">
        <w:rPr>
          <w:lang w:val="en"/>
        </w:rPr>
        <w:t xml:space="preserve">characteristic of a housing market which </w:t>
      </w:r>
      <w:r w:rsidRPr="00B73FED">
        <w:t>has a slightly larger number of house prices at the lower end and slightly fewer house prices at the higher end.</w:t>
      </w:r>
      <w:r w:rsidR="009321B1">
        <w:t xml:space="preserve"> This would seem to fit with the general profile of Weymouth.</w:t>
      </w:r>
      <w:r w:rsidRPr="00B73FED">
        <w:t xml:space="preserve"> In this case, the median, which is the middle number when you sort the data from smallest to largest, lies in the lower range of values (where more of the house prices are).</w:t>
      </w:r>
    </w:p>
    <w:p w14:paraId="44ED94B2" w14:textId="44AF3580" w:rsidR="008E553A" w:rsidRPr="008E553A" w:rsidRDefault="008E553A" w:rsidP="008E553A">
      <w:pPr>
        <w:pStyle w:val="ListNumber"/>
      </w:pPr>
      <w:r w:rsidRPr="00B73FED">
        <w:t>B</w:t>
      </w:r>
      <w:r w:rsidRPr="00B73FED">
        <w:rPr>
          <w:lang w:val="en"/>
        </w:rPr>
        <w:t xml:space="preserve">ecause the mean </w:t>
      </w:r>
      <w:r>
        <w:rPr>
          <w:lang w:val="en"/>
        </w:rPr>
        <w:t>captures</w:t>
      </w:r>
      <w:r w:rsidRPr="00B73FED">
        <w:rPr>
          <w:lang w:val="en"/>
        </w:rPr>
        <w:t xml:space="preserve"> the average of all the house prices, both high and low, the few outlying data points on the high end </w:t>
      </w:r>
      <w:r w:rsidR="009321B1">
        <w:rPr>
          <w:lang w:val="en"/>
        </w:rPr>
        <w:t xml:space="preserve">(as in, the smaller number of more expensive homes) </w:t>
      </w:r>
      <w:r w:rsidRPr="00B73FED">
        <w:rPr>
          <w:lang w:val="en"/>
        </w:rPr>
        <w:t>cause the mean to increase, making it higher than the median.</w:t>
      </w:r>
    </w:p>
    <w:bookmarkEnd w:id="98"/>
    <w:p w14:paraId="7DA69E80" w14:textId="31D21300" w:rsidR="00F06D67" w:rsidRDefault="00F06D67" w:rsidP="00A82210">
      <w:pPr>
        <w:pStyle w:val="ListNumber"/>
      </w:pPr>
      <w:r w:rsidRPr="00C378B2">
        <w:t>PPG makes clear that lower-qu</w:t>
      </w:r>
      <w:r>
        <w:t xml:space="preserve">artile house prices may </w:t>
      </w:r>
      <w:r w:rsidRPr="00C378B2">
        <w:t>be used as a benchmark for entry-level home prices.</w:t>
      </w:r>
      <w:r w:rsidRPr="00C378B2">
        <w:rPr>
          <w:rStyle w:val="FootnoteReference"/>
          <w:lang w:val="en-GB"/>
        </w:rPr>
        <w:footnoteReference w:id="22"/>
      </w:r>
      <w:r w:rsidRPr="009951EE">
        <w:t xml:space="preserve"> </w:t>
      </w:r>
      <w:r w:rsidRPr="00CF27BE">
        <w:t xml:space="preserve">Entry-level properties </w:t>
      </w:r>
      <w:r>
        <w:t>are typically those with one or two bedrooms – either flats or houses.</w:t>
      </w:r>
      <w:r w:rsidR="009321B1">
        <w:t xml:space="preserve"> In the case of Weymouth, lower quartile prices are just under £50,000 lower than average house prices</w:t>
      </w:r>
      <w:r w:rsidR="009A1667">
        <w:t xml:space="preserve"> in 2011</w:t>
      </w:r>
      <w:r w:rsidR="009321B1">
        <w:t>, with the gap widening</w:t>
      </w:r>
      <w:r w:rsidR="00A73A45">
        <w:t xml:space="preserve"> slightly</w:t>
      </w:r>
      <w:r w:rsidR="009321B1">
        <w:t xml:space="preserve"> in recent years, to being closer to </w:t>
      </w:r>
      <w:r w:rsidR="009A1667">
        <w:t>a £60,000 difference in 2020.</w:t>
      </w:r>
    </w:p>
    <w:p w14:paraId="16F0BAB3" w14:textId="7089236C" w:rsidR="002C2D5C" w:rsidRPr="004B77D6" w:rsidRDefault="00603781" w:rsidP="00603781">
      <w:pPr>
        <w:pStyle w:val="Caption"/>
        <w:rPr>
          <w:sz w:val="18"/>
          <w:szCs w:val="18"/>
        </w:rPr>
      </w:pPr>
      <w:r>
        <w:t xml:space="preserve">Figure </w:t>
      </w:r>
      <w:r w:rsidR="00D72010">
        <w:fldChar w:fldCharType="begin"/>
      </w:r>
      <w:r w:rsidR="00D72010">
        <w:instrText xml:space="preserve"> STYLEREF 1 \s </w:instrText>
      </w:r>
      <w:r w:rsidR="00D72010">
        <w:fldChar w:fldCharType="separate"/>
      </w:r>
      <w:r>
        <w:rPr>
          <w:noProof/>
        </w:rPr>
        <w:t>4</w:t>
      </w:r>
      <w:r w:rsidR="00D72010">
        <w:rPr>
          <w:noProof/>
        </w:rPr>
        <w:fldChar w:fldCharType="end"/>
      </w:r>
      <w:r>
        <w:noBreakHyphen/>
      </w:r>
      <w:r w:rsidR="00D72010">
        <w:fldChar w:fldCharType="begin"/>
      </w:r>
      <w:r w:rsidR="00D72010">
        <w:instrText xml:space="preserve"> SEQ Figure \* ARABIC \s 1 </w:instrText>
      </w:r>
      <w:r w:rsidR="00D72010">
        <w:fldChar w:fldCharType="separate"/>
      </w:r>
      <w:r>
        <w:rPr>
          <w:noProof/>
        </w:rPr>
        <w:t>1</w:t>
      </w:r>
      <w:r w:rsidR="00D72010">
        <w:rPr>
          <w:noProof/>
        </w:rPr>
        <w:fldChar w:fldCharType="end"/>
      </w:r>
      <w:r w:rsidR="002C2D5C" w:rsidRPr="00BA4C32">
        <w:rPr>
          <w:sz w:val="18"/>
          <w:szCs w:val="18"/>
        </w:rPr>
        <w:t xml:space="preserve">: </w:t>
      </w:r>
      <w:bookmarkStart w:id="99" w:name="_Hlk62555961"/>
      <w:r w:rsidR="002C2D5C" w:rsidRPr="004B77D6">
        <w:rPr>
          <w:sz w:val="18"/>
          <w:szCs w:val="18"/>
        </w:rPr>
        <w:t>House prices</w:t>
      </w:r>
      <w:r w:rsidR="00817582">
        <w:rPr>
          <w:sz w:val="18"/>
          <w:szCs w:val="18"/>
        </w:rPr>
        <w:t xml:space="preserve"> by quartile</w:t>
      </w:r>
      <w:r w:rsidR="002C2D5C" w:rsidRPr="004B77D6">
        <w:rPr>
          <w:sz w:val="18"/>
          <w:szCs w:val="18"/>
        </w:rPr>
        <w:t xml:space="preserve"> in </w:t>
      </w:r>
      <w:r w:rsidR="0015105E">
        <w:rPr>
          <w:sz w:val="18"/>
          <w:szCs w:val="18"/>
        </w:rPr>
        <w:t>Weymouth</w:t>
      </w:r>
      <w:r w:rsidR="004B77D6">
        <w:rPr>
          <w:sz w:val="18"/>
          <w:szCs w:val="18"/>
        </w:rPr>
        <w:t xml:space="preserve"> between </w:t>
      </w:r>
      <w:r w:rsidR="00295831">
        <w:rPr>
          <w:sz w:val="18"/>
          <w:szCs w:val="18"/>
        </w:rPr>
        <w:t>2011</w:t>
      </w:r>
      <w:r w:rsidR="004B77D6">
        <w:rPr>
          <w:sz w:val="18"/>
          <w:szCs w:val="18"/>
        </w:rPr>
        <w:t xml:space="preserve"> and </w:t>
      </w:r>
      <w:r w:rsidR="00295831">
        <w:rPr>
          <w:sz w:val="18"/>
          <w:szCs w:val="18"/>
        </w:rPr>
        <w:t>2020</w:t>
      </w:r>
      <w:bookmarkEnd w:id="99"/>
    </w:p>
    <w:p w14:paraId="2C373161" w14:textId="0B30CC3B" w:rsidR="002C2D5C" w:rsidRPr="00D47DE9" w:rsidRDefault="00295831" w:rsidP="002C2D5C">
      <w:pPr>
        <w:pStyle w:val="Caption"/>
        <w:jc w:val="both"/>
        <w:rPr>
          <w:rFonts w:cstheme="minorHAnsi"/>
          <w:highlight w:val="yellow"/>
        </w:rPr>
      </w:pPr>
      <w:r>
        <w:rPr>
          <w:noProof/>
        </w:rPr>
        <w:drawing>
          <wp:inline distT="0" distB="0" distL="0" distR="0" wp14:anchorId="6A17A8A1" wp14:editId="31A9E88E">
            <wp:extent cx="6244590" cy="2242820"/>
            <wp:effectExtent l="0" t="0" r="3810" b="5080"/>
            <wp:docPr id="1" name="Chart 1">
              <a:extLst xmlns:a="http://schemas.openxmlformats.org/drawingml/2006/main">
                <a:ext uri="{FF2B5EF4-FFF2-40B4-BE49-F238E27FC236}">
                  <a16:creationId xmlns:a16="http://schemas.microsoft.com/office/drawing/2014/main" id="{20E957B9-71A0-4323-B3AA-6C1202F3E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6E3399" w14:textId="77777777" w:rsidR="002C2D5C" w:rsidRPr="004B77D6" w:rsidRDefault="002C2D5C" w:rsidP="002C2D5C">
      <w:pPr>
        <w:pStyle w:val="Source"/>
        <w:jc w:val="both"/>
        <w:rPr>
          <w:sz w:val="18"/>
          <w:szCs w:val="18"/>
          <w:lang w:val="en-GB"/>
        </w:rPr>
      </w:pPr>
      <w:r w:rsidRPr="004B77D6">
        <w:rPr>
          <w:sz w:val="18"/>
          <w:szCs w:val="18"/>
          <w:lang w:val="en-GB"/>
        </w:rPr>
        <w:t>Source: Land Registry PPD</w:t>
      </w:r>
    </w:p>
    <w:p w14:paraId="0ABE5ADD" w14:textId="0B7256EB" w:rsidR="002C2D5C" w:rsidRPr="004B77D6" w:rsidRDefault="002C2D5C" w:rsidP="00295831">
      <w:pPr>
        <w:pStyle w:val="ListNumber"/>
        <w:numPr>
          <w:ilvl w:val="0"/>
          <w:numId w:val="0"/>
        </w:numPr>
      </w:pPr>
    </w:p>
    <w:p w14:paraId="19985EDB" w14:textId="73188FDD" w:rsidR="009A1667" w:rsidRPr="00947EB5" w:rsidRDefault="002C2D5C" w:rsidP="009A1667">
      <w:pPr>
        <w:pStyle w:val="ListNumber"/>
        <w:jc w:val="both"/>
      </w:pPr>
      <w:r w:rsidRPr="00CC4E3E">
        <w:fldChar w:fldCharType="begin"/>
      </w:r>
      <w:r w:rsidRPr="00CC4E3E">
        <w:instrText xml:space="preserve"> REF _Ref2333252 \h  \* MERGEFORMAT </w:instrText>
      </w:r>
      <w:r w:rsidRPr="00CC4E3E">
        <w:fldChar w:fldCharType="separate"/>
      </w:r>
      <w:r w:rsidR="00E14AFB" w:rsidRPr="004B77D6">
        <w:t xml:space="preserve">Table </w:t>
      </w:r>
      <w:r w:rsidR="00440D87">
        <w:rPr>
          <w:noProof/>
        </w:rPr>
        <w:t>4</w:t>
      </w:r>
      <w:r w:rsidR="00E14AFB" w:rsidRPr="004B77D6">
        <w:rPr>
          <w:noProof/>
        </w:rPr>
        <w:noBreakHyphen/>
      </w:r>
      <w:r w:rsidR="00E14AFB">
        <w:rPr>
          <w:noProof/>
        </w:rPr>
        <w:t>3</w:t>
      </w:r>
      <w:r w:rsidRPr="00CC4E3E">
        <w:fldChar w:fldCharType="end"/>
      </w:r>
      <w:r w:rsidRPr="00CC4E3E">
        <w:t xml:space="preserve"> below breaks down house prices by ty</w:t>
      </w:r>
      <w:r w:rsidR="00CC4E3E">
        <w:t>pe of house as recorded by L</w:t>
      </w:r>
      <w:r w:rsidRPr="00CC4E3E">
        <w:t xml:space="preserve">and </w:t>
      </w:r>
      <w:r w:rsidR="00CC4E3E">
        <w:t>R</w:t>
      </w:r>
      <w:r w:rsidRPr="00CC4E3E">
        <w:t>egistry</w:t>
      </w:r>
      <w:r w:rsidR="00CC4E3E">
        <w:t xml:space="preserve"> Price Paid Data (PPD)</w:t>
      </w:r>
      <w:r w:rsidRPr="00CC4E3E">
        <w:t xml:space="preserve">. </w:t>
      </w:r>
      <w:r w:rsidR="00CC4E3E">
        <w:t>It</w:t>
      </w:r>
      <w:r w:rsidRPr="00CC4E3E">
        <w:t xml:space="preserve"> shows that </w:t>
      </w:r>
      <w:bookmarkStart w:id="100" w:name="_Ref2333252"/>
      <w:r w:rsidR="009A1667">
        <w:t>flats were selling for just under half the price of a detached property in 2001. By 2020, the price differences between a flat and detached house had become more pronounced, with the average detached house almost two and a half times as expensive as the average flat. This is because prices of flats have risen by only £21,000 on average (15%), while prices of semi-detached and detached properties have risen by</w:t>
      </w:r>
      <w:r w:rsidR="00A73A45">
        <w:t xml:space="preserve"> and average of</w:t>
      </w:r>
      <w:r w:rsidR="009A1667">
        <w:t xml:space="preserve"> £63,000 </w:t>
      </w:r>
      <w:r w:rsidR="00A73A45">
        <w:t>and</w:t>
      </w:r>
      <w:r w:rsidR="009A1667">
        <w:t xml:space="preserve"> £7</w:t>
      </w:r>
      <w:r w:rsidR="000C1F24">
        <w:t>6</w:t>
      </w:r>
      <w:r w:rsidR="009A1667">
        <w:t>,000 (31% and 18% respectively). Terraced house prices have risen at a lower rate, closer to that of flats, by just above £3</w:t>
      </w:r>
      <w:r w:rsidR="000C1F24">
        <w:t>2</w:t>
      </w:r>
      <w:r w:rsidR="009A1667">
        <w:t>,000 (18%). The average rate of house price increase across all types was 33%</w:t>
      </w:r>
      <w:r w:rsidR="00781903">
        <w:t xml:space="preserve"> or £69,622</w:t>
      </w:r>
      <w:r w:rsidR="009A1667">
        <w:t xml:space="preserve">. </w:t>
      </w:r>
    </w:p>
    <w:p w14:paraId="42922D94" w14:textId="0E9873C6" w:rsidR="00947EB5" w:rsidRPr="00947EB5" w:rsidRDefault="00947EB5" w:rsidP="00947EB5">
      <w:pPr>
        <w:pStyle w:val="ListNumber"/>
        <w:jc w:val="both"/>
        <w:rPr>
          <w:color w:val="auto"/>
        </w:rPr>
      </w:pPr>
      <w:r w:rsidRPr="00947EB5">
        <w:rPr>
          <w:color w:val="auto"/>
        </w:rPr>
        <w:t>The fact that the average price growth across all types is higher than for any of the individual type categories can be explained by two facts: Firstly, an increasing proportion of more detached and semi-detached homes</w:t>
      </w:r>
      <w:r w:rsidR="00A73A45">
        <w:rPr>
          <w:color w:val="auto"/>
        </w:rPr>
        <w:t xml:space="preserve"> in the market</w:t>
      </w:r>
      <w:r w:rsidRPr="00947EB5">
        <w:rPr>
          <w:color w:val="auto"/>
        </w:rPr>
        <w:t xml:space="preserve"> </w:t>
      </w:r>
      <w:r w:rsidR="00A73A45">
        <w:rPr>
          <w:color w:val="auto"/>
        </w:rPr>
        <w:t>compared to</w:t>
      </w:r>
      <w:r w:rsidRPr="00947EB5">
        <w:rPr>
          <w:color w:val="auto"/>
        </w:rPr>
        <w:t xml:space="preserve"> terraced</w:t>
      </w:r>
      <w:r w:rsidR="00A73A45">
        <w:rPr>
          <w:color w:val="auto"/>
        </w:rPr>
        <w:t xml:space="preserve"> homes</w:t>
      </w:r>
      <w:r w:rsidRPr="00947EB5">
        <w:rPr>
          <w:color w:val="auto"/>
        </w:rPr>
        <w:t xml:space="preserve"> and flats over time; and secondly by the fact that the mean for all properties is skewed more by the most expensive property sales</w:t>
      </w:r>
      <w:r w:rsidR="00FF6750">
        <w:rPr>
          <w:color w:val="auto"/>
        </w:rPr>
        <w:t xml:space="preserve"> (most likely in the detached category)</w:t>
      </w:r>
      <w:r w:rsidRPr="00947EB5">
        <w:rPr>
          <w:color w:val="auto"/>
        </w:rPr>
        <w:t xml:space="preserve">. </w:t>
      </w:r>
    </w:p>
    <w:p w14:paraId="65628585" w14:textId="3A300AC9" w:rsidR="002C2D5C" w:rsidRPr="004B77D6" w:rsidRDefault="002C2D5C" w:rsidP="002C2D5C">
      <w:pPr>
        <w:pStyle w:val="Caption"/>
        <w:jc w:val="both"/>
        <w:rPr>
          <w:sz w:val="18"/>
          <w:szCs w:val="18"/>
        </w:rPr>
      </w:pPr>
      <w:r w:rsidRPr="004B77D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4</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603781">
        <w:rPr>
          <w:noProof/>
          <w:sz w:val="18"/>
          <w:szCs w:val="18"/>
        </w:rPr>
        <w:t>3</w:t>
      </w:r>
      <w:r w:rsidR="00BA4C32">
        <w:rPr>
          <w:sz w:val="18"/>
          <w:szCs w:val="18"/>
        </w:rPr>
        <w:fldChar w:fldCharType="end"/>
      </w:r>
      <w:bookmarkEnd w:id="100"/>
      <w:r w:rsidRPr="004B77D6">
        <w:rPr>
          <w:sz w:val="18"/>
          <w:szCs w:val="18"/>
        </w:rPr>
        <w:t>: House prices by type in</w:t>
      </w:r>
      <w:r w:rsidR="005F50BC" w:rsidRPr="004B77D6">
        <w:rPr>
          <w:sz w:val="18"/>
          <w:szCs w:val="18"/>
        </w:rPr>
        <w:t xml:space="preserve"> </w:t>
      </w:r>
      <w:r w:rsidR="0015105E">
        <w:rPr>
          <w:sz w:val="18"/>
          <w:szCs w:val="18"/>
        </w:rPr>
        <w:t>Weymouth</w:t>
      </w:r>
      <w:r w:rsidRPr="004B77D6">
        <w:rPr>
          <w:sz w:val="18"/>
          <w:szCs w:val="18"/>
        </w:rPr>
        <w:t>, 20</w:t>
      </w:r>
      <w:r w:rsidR="00974888">
        <w:rPr>
          <w:sz w:val="18"/>
          <w:szCs w:val="18"/>
        </w:rPr>
        <w:t>10</w:t>
      </w:r>
      <w:r w:rsidRPr="004B77D6">
        <w:rPr>
          <w:sz w:val="18"/>
          <w:szCs w:val="18"/>
        </w:rPr>
        <w:t>-201</w:t>
      </w:r>
      <w:r w:rsidR="00974888">
        <w:rPr>
          <w:sz w:val="18"/>
          <w:szCs w:val="18"/>
        </w:rPr>
        <w:t>9</w:t>
      </w:r>
      <w:r w:rsidR="00817582">
        <w:rPr>
          <w:sz w:val="18"/>
          <w:szCs w:val="18"/>
        </w:rPr>
        <w:t>,</w:t>
      </w:r>
      <w:r w:rsidR="00F04C95">
        <w:rPr>
          <w:sz w:val="18"/>
          <w:szCs w:val="18"/>
        </w:rPr>
        <w:t xml:space="preserve"> </w:t>
      </w:r>
      <w:r w:rsidR="00817582">
        <w:rPr>
          <w:sz w:val="18"/>
          <w:szCs w:val="18"/>
        </w:rPr>
        <w:t>000’s</w:t>
      </w:r>
    </w:p>
    <w:tbl>
      <w:tblPr>
        <w:tblW w:w="4794" w:type="pct"/>
        <w:tblInd w:w="416" w:type="dxa"/>
        <w:tblLayout w:type="fixed"/>
        <w:tblLook w:val="04A0" w:firstRow="1" w:lastRow="0" w:firstColumn="1" w:lastColumn="0" w:noHBand="0" w:noVBand="1"/>
      </w:tblPr>
      <w:tblGrid>
        <w:gridCol w:w="1358"/>
        <w:gridCol w:w="692"/>
        <w:gridCol w:w="692"/>
        <w:gridCol w:w="693"/>
        <w:gridCol w:w="691"/>
        <w:gridCol w:w="693"/>
        <w:gridCol w:w="694"/>
        <w:gridCol w:w="830"/>
        <w:gridCol w:w="693"/>
        <w:gridCol w:w="691"/>
        <w:gridCol w:w="693"/>
        <w:gridCol w:w="990"/>
      </w:tblGrid>
      <w:tr w:rsidR="00295831" w:rsidRPr="00374C95" w14:paraId="21269298" w14:textId="77777777" w:rsidTr="002D4F56">
        <w:trPr>
          <w:trHeight w:val="288"/>
        </w:trPr>
        <w:tc>
          <w:tcPr>
            <w:tcW w:w="722" w:type="pct"/>
            <w:tcBorders>
              <w:top w:val="single" w:sz="8" w:space="0" w:color="auto"/>
              <w:left w:val="single" w:sz="8" w:space="0" w:color="auto"/>
              <w:bottom w:val="single" w:sz="4" w:space="0" w:color="auto"/>
              <w:right w:val="single" w:sz="4" w:space="0" w:color="auto"/>
            </w:tcBorders>
            <w:shd w:val="clear" w:color="auto" w:fill="000000" w:themeFill="text1"/>
            <w:noWrap/>
            <w:vAlign w:val="center"/>
          </w:tcPr>
          <w:p w14:paraId="0FA9255F" w14:textId="0F2F3FED" w:rsidR="00295831" w:rsidRPr="009B5F2F" w:rsidRDefault="00295831" w:rsidP="00295831">
            <w:pPr>
              <w:jc w:val="both"/>
              <w:rPr>
                <w:rFonts w:asciiTheme="minorHAnsi" w:hAnsiTheme="minorHAnsi" w:cstheme="minorHAnsi"/>
                <w:b/>
                <w:color w:val="FFFFFF" w:themeColor="background2"/>
                <w:sz w:val="18"/>
                <w:szCs w:val="18"/>
              </w:rPr>
            </w:pPr>
            <w:r w:rsidRPr="009B5F2F">
              <w:rPr>
                <w:rFonts w:asciiTheme="minorHAnsi" w:hAnsiTheme="minorHAnsi" w:cstheme="minorHAnsi"/>
                <w:b/>
                <w:bCs/>
                <w:color w:val="FFFFFF"/>
                <w:sz w:val="18"/>
                <w:szCs w:val="18"/>
              </w:rPr>
              <w:t> </w:t>
            </w:r>
          </w:p>
        </w:tc>
        <w:tc>
          <w:tcPr>
            <w:tcW w:w="368" w:type="pct"/>
            <w:tcBorders>
              <w:top w:val="single" w:sz="8" w:space="0" w:color="auto"/>
              <w:left w:val="nil"/>
              <w:bottom w:val="single" w:sz="4" w:space="0" w:color="auto"/>
              <w:right w:val="single" w:sz="4" w:space="0" w:color="auto"/>
            </w:tcBorders>
            <w:shd w:val="clear" w:color="auto" w:fill="000000" w:themeFill="text1"/>
            <w:noWrap/>
            <w:vAlign w:val="center"/>
          </w:tcPr>
          <w:p w14:paraId="670B701F" w14:textId="7138B8E9"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2011</w:t>
            </w:r>
          </w:p>
        </w:tc>
        <w:tc>
          <w:tcPr>
            <w:tcW w:w="368" w:type="pct"/>
            <w:tcBorders>
              <w:top w:val="single" w:sz="8" w:space="0" w:color="auto"/>
              <w:left w:val="nil"/>
              <w:bottom w:val="single" w:sz="4" w:space="0" w:color="auto"/>
              <w:right w:val="single" w:sz="4" w:space="0" w:color="auto"/>
            </w:tcBorders>
            <w:shd w:val="clear" w:color="auto" w:fill="000000" w:themeFill="text1"/>
            <w:noWrap/>
            <w:vAlign w:val="center"/>
          </w:tcPr>
          <w:p w14:paraId="3CD94175" w14:textId="22B812ED"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2012</w:t>
            </w:r>
          </w:p>
        </w:tc>
        <w:tc>
          <w:tcPr>
            <w:tcW w:w="368" w:type="pct"/>
            <w:tcBorders>
              <w:top w:val="single" w:sz="8" w:space="0" w:color="auto"/>
              <w:left w:val="nil"/>
              <w:bottom w:val="single" w:sz="4" w:space="0" w:color="auto"/>
              <w:right w:val="single" w:sz="8" w:space="0" w:color="auto"/>
            </w:tcBorders>
            <w:shd w:val="clear" w:color="auto" w:fill="000000" w:themeFill="text1"/>
            <w:noWrap/>
            <w:vAlign w:val="center"/>
          </w:tcPr>
          <w:p w14:paraId="75B10A6E" w14:textId="3E555FE3"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2013</w:t>
            </w:r>
          </w:p>
        </w:tc>
        <w:tc>
          <w:tcPr>
            <w:tcW w:w="367" w:type="pct"/>
            <w:tcBorders>
              <w:top w:val="single" w:sz="8" w:space="0" w:color="auto"/>
              <w:left w:val="nil"/>
              <w:bottom w:val="single" w:sz="4" w:space="0" w:color="auto"/>
              <w:right w:val="single" w:sz="8" w:space="0" w:color="auto"/>
            </w:tcBorders>
            <w:shd w:val="clear" w:color="auto" w:fill="000000" w:themeFill="text1"/>
            <w:vAlign w:val="center"/>
          </w:tcPr>
          <w:p w14:paraId="23EA1181" w14:textId="491E206E"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2014</w:t>
            </w:r>
          </w:p>
        </w:tc>
        <w:tc>
          <w:tcPr>
            <w:tcW w:w="368" w:type="pct"/>
            <w:tcBorders>
              <w:top w:val="single" w:sz="8" w:space="0" w:color="auto"/>
              <w:left w:val="nil"/>
              <w:bottom w:val="single" w:sz="4" w:space="0" w:color="auto"/>
              <w:right w:val="single" w:sz="8" w:space="0" w:color="auto"/>
            </w:tcBorders>
            <w:shd w:val="clear" w:color="auto" w:fill="000000" w:themeFill="text1"/>
            <w:vAlign w:val="center"/>
          </w:tcPr>
          <w:p w14:paraId="65AE38EF" w14:textId="56B57FC3"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2015</w:t>
            </w:r>
          </w:p>
        </w:tc>
        <w:tc>
          <w:tcPr>
            <w:tcW w:w="369" w:type="pct"/>
            <w:tcBorders>
              <w:top w:val="single" w:sz="8" w:space="0" w:color="auto"/>
              <w:left w:val="nil"/>
              <w:bottom w:val="single" w:sz="4" w:space="0" w:color="auto"/>
              <w:right w:val="single" w:sz="8" w:space="0" w:color="auto"/>
            </w:tcBorders>
            <w:shd w:val="clear" w:color="auto" w:fill="000000" w:themeFill="text1"/>
            <w:vAlign w:val="center"/>
          </w:tcPr>
          <w:p w14:paraId="67CB1611" w14:textId="0F72C273"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2016</w:t>
            </w:r>
          </w:p>
        </w:tc>
        <w:tc>
          <w:tcPr>
            <w:tcW w:w="441" w:type="pct"/>
            <w:tcBorders>
              <w:top w:val="single" w:sz="8" w:space="0" w:color="auto"/>
              <w:left w:val="nil"/>
              <w:bottom w:val="single" w:sz="4" w:space="0" w:color="auto"/>
              <w:right w:val="single" w:sz="8" w:space="0" w:color="auto"/>
            </w:tcBorders>
            <w:shd w:val="clear" w:color="auto" w:fill="000000" w:themeFill="text1"/>
            <w:vAlign w:val="center"/>
          </w:tcPr>
          <w:p w14:paraId="751A83EE" w14:textId="01F50F90"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2017</w:t>
            </w:r>
          </w:p>
        </w:tc>
        <w:tc>
          <w:tcPr>
            <w:tcW w:w="368" w:type="pct"/>
            <w:tcBorders>
              <w:top w:val="single" w:sz="8" w:space="0" w:color="auto"/>
              <w:left w:val="nil"/>
              <w:bottom w:val="single" w:sz="4" w:space="0" w:color="auto"/>
              <w:right w:val="single" w:sz="8" w:space="0" w:color="auto"/>
            </w:tcBorders>
            <w:shd w:val="clear" w:color="auto" w:fill="000000" w:themeFill="text1"/>
            <w:vAlign w:val="center"/>
          </w:tcPr>
          <w:p w14:paraId="15444809" w14:textId="30A80B75"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2018</w:t>
            </w:r>
          </w:p>
        </w:tc>
        <w:tc>
          <w:tcPr>
            <w:tcW w:w="367" w:type="pct"/>
            <w:tcBorders>
              <w:top w:val="single" w:sz="8" w:space="0" w:color="auto"/>
              <w:left w:val="nil"/>
              <w:bottom w:val="single" w:sz="4" w:space="0" w:color="auto"/>
              <w:right w:val="single" w:sz="8" w:space="0" w:color="auto"/>
            </w:tcBorders>
            <w:shd w:val="clear" w:color="auto" w:fill="000000" w:themeFill="text1"/>
            <w:vAlign w:val="center"/>
          </w:tcPr>
          <w:p w14:paraId="778C3D6F" w14:textId="71ADD3E7"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2019</w:t>
            </w:r>
          </w:p>
        </w:tc>
        <w:tc>
          <w:tcPr>
            <w:tcW w:w="368" w:type="pct"/>
            <w:tcBorders>
              <w:top w:val="single" w:sz="8" w:space="0" w:color="auto"/>
              <w:left w:val="nil"/>
              <w:bottom w:val="single" w:sz="4" w:space="0" w:color="auto"/>
              <w:right w:val="single" w:sz="8" w:space="0" w:color="auto"/>
            </w:tcBorders>
            <w:shd w:val="clear" w:color="auto" w:fill="000000" w:themeFill="text1"/>
            <w:vAlign w:val="center"/>
          </w:tcPr>
          <w:p w14:paraId="5A1DC60E" w14:textId="107DE327"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2020</w:t>
            </w:r>
          </w:p>
        </w:tc>
        <w:tc>
          <w:tcPr>
            <w:tcW w:w="526" w:type="pct"/>
            <w:tcBorders>
              <w:top w:val="single" w:sz="8" w:space="0" w:color="auto"/>
              <w:left w:val="nil"/>
              <w:bottom w:val="single" w:sz="4" w:space="0" w:color="auto"/>
              <w:right w:val="single" w:sz="8" w:space="0" w:color="auto"/>
            </w:tcBorders>
            <w:shd w:val="clear" w:color="auto" w:fill="000000" w:themeFill="text1"/>
            <w:vAlign w:val="center"/>
          </w:tcPr>
          <w:p w14:paraId="4343F54E" w14:textId="720664B5" w:rsidR="00295831" w:rsidRPr="009B5F2F" w:rsidRDefault="00295831" w:rsidP="00295831">
            <w:pPr>
              <w:jc w:val="both"/>
              <w:rPr>
                <w:rFonts w:asciiTheme="minorHAnsi" w:hAnsiTheme="minorHAnsi" w:cstheme="minorHAnsi"/>
                <w:b/>
                <w:color w:val="FFFFFF" w:themeColor="background2"/>
                <w:szCs w:val="16"/>
              </w:rPr>
            </w:pPr>
            <w:r w:rsidRPr="009B5F2F">
              <w:rPr>
                <w:rFonts w:asciiTheme="minorHAnsi" w:hAnsiTheme="minorHAnsi" w:cstheme="minorHAnsi"/>
                <w:b/>
                <w:bCs/>
                <w:color w:val="FFFFFF"/>
                <w:szCs w:val="16"/>
              </w:rPr>
              <w:t>PRICE GROWTH</w:t>
            </w:r>
          </w:p>
        </w:tc>
      </w:tr>
      <w:tr w:rsidR="00295831" w:rsidRPr="00374C95" w14:paraId="79A04874" w14:textId="77777777" w:rsidTr="002D4F56">
        <w:trPr>
          <w:trHeight w:val="288"/>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2A237" w14:textId="43D3623E" w:rsidR="00295831" w:rsidRPr="009B5F2F" w:rsidRDefault="00295831" w:rsidP="00295831">
            <w:pPr>
              <w:jc w:val="both"/>
              <w:rPr>
                <w:rFonts w:asciiTheme="minorHAnsi" w:hAnsiTheme="minorHAnsi" w:cstheme="minorHAnsi"/>
                <w:sz w:val="18"/>
                <w:szCs w:val="18"/>
              </w:rPr>
            </w:pPr>
            <w:r w:rsidRPr="009B5F2F">
              <w:rPr>
                <w:rFonts w:asciiTheme="minorHAnsi" w:hAnsiTheme="minorHAnsi" w:cstheme="minorHAnsi"/>
                <w:sz w:val="18"/>
                <w:szCs w:val="18"/>
              </w:rPr>
              <w:t>Detached</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5FF62" w14:textId="71F8B99D"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£299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31F8E" w14:textId="0E68C879"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£29</w:t>
            </w:r>
            <w:r w:rsidR="009B5F2F">
              <w:rPr>
                <w:rFonts w:asciiTheme="minorHAnsi" w:hAnsiTheme="minorHAnsi" w:cstheme="minorHAnsi"/>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E52F7" w14:textId="1A59743B"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£294</w:t>
            </w:r>
          </w:p>
        </w:tc>
        <w:tc>
          <w:tcPr>
            <w:tcW w:w="367" w:type="pct"/>
            <w:tcBorders>
              <w:top w:val="single" w:sz="4" w:space="0" w:color="auto"/>
              <w:left w:val="single" w:sz="4" w:space="0" w:color="auto"/>
              <w:bottom w:val="single" w:sz="4" w:space="0" w:color="auto"/>
              <w:right w:val="single" w:sz="4" w:space="0" w:color="auto"/>
            </w:tcBorders>
            <w:vAlign w:val="center"/>
          </w:tcPr>
          <w:p w14:paraId="6161B967" w14:textId="127C1DCB"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£31</w:t>
            </w:r>
            <w:r w:rsidR="009B5F2F">
              <w:rPr>
                <w:rFonts w:asciiTheme="minorHAnsi" w:hAnsiTheme="minorHAnsi" w:cstheme="minorHAnsi"/>
                <w:szCs w:val="16"/>
              </w:rPr>
              <w:t>3</w:t>
            </w:r>
          </w:p>
        </w:tc>
        <w:tc>
          <w:tcPr>
            <w:tcW w:w="368" w:type="pct"/>
            <w:tcBorders>
              <w:top w:val="single" w:sz="4" w:space="0" w:color="auto"/>
              <w:left w:val="single" w:sz="4" w:space="0" w:color="auto"/>
              <w:bottom w:val="single" w:sz="4" w:space="0" w:color="auto"/>
              <w:right w:val="single" w:sz="4" w:space="0" w:color="auto"/>
            </w:tcBorders>
            <w:vAlign w:val="center"/>
          </w:tcPr>
          <w:p w14:paraId="7D127F01" w14:textId="7028730D"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£333</w:t>
            </w:r>
          </w:p>
        </w:tc>
        <w:tc>
          <w:tcPr>
            <w:tcW w:w="369" w:type="pct"/>
            <w:tcBorders>
              <w:top w:val="single" w:sz="4" w:space="0" w:color="auto"/>
              <w:left w:val="single" w:sz="4" w:space="0" w:color="auto"/>
              <w:bottom w:val="single" w:sz="4" w:space="0" w:color="auto"/>
              <w:right w:val="single" w:sz="4" w:space="0" w:color="auto"/>
            </w:tcBorders>
            <w:vAlign w:val="center"/>
          </w:tcPr>
          <w:p w14:paraId="499F3A5B" w14:textId="294774CF"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£342</w:t>
            </w:r>
          </w:p>
        </w:tc>
        <w:tc>
          <w:tcPr>
            <w:tcW w:w="441" w:type="pct"/>
            <w:tcBorders>
              <w:top w:val="single" w:sz="4" w:space="0" w:color="auto"/>
              <w:left w:val="single" w:sz="4" w:space="0" w:color="auto"/>
              <w:bottom w:val="single" w:sz="4" w:space="0" w:color="auto"/>
              <w:right w:val="single" w:sz="4" w:space="0" w:color="auto"/>
            </w:tcBorders>
            <w:vAlign w:val="center"/>
          </w:tcPr>
          <w:p w14:paraId="7C8E8B99" w14:textId="607A73A2"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£363</w:t>
            </w:r>
          </w:p>
        </w:tc>
        <w:tc>
          <w:tcPr>
            <w:tcW w:w="368" w:type="pct"/>
            <w:tcBorders>
              <w:top w:val="single" w:sz="4" w:space="0" w:color="auto"/>
              <w:left w:val="single" w:sz="4" w:space="0" w:color="auto"/>
              <w:bottom w:val="single" w:sz="4" w:space="0" w:color="auto"/>
              <w:right w:val="single" w:sz="4" w:space="0" w:color="auto"/>
            </w:tcBorders>
            <w:vAlign w:val="center"/>
          </w:tcPr>
          <w:p w14:paraId="038E64EC" w14:textId="6E92F0D9"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£37</w:t>
            </w:r>
            <w:r w:rsidR="009B5F2F">
              <w:rPr>
                <w:rFonts w:asciiTheme="minorHAnsi" w:hAnsiTheme="minorHAnsi" w:cstheme="minorHAnsi"/>
                <w:szCs w:val="16"/>
              </w:rPr>
              <w:t>8</w:t>
            </w:r>
          </w:p>
        </w:tc>
        <w:tc>
          <w:tcPr>
            <w:tcW w:w="367" w:type="pct"/>
            <w:tcBorders>
              <w:top w:val="single" w:sz="4" w:space="0" w:color="auto"/>
              <w:left w:val="single" w:sz="4" w:space="0" w:color="auto"/>
              <w:bottom w:val="single" w:sz="4" w:space="0" w:color="auto"/>
              <w:right w:val="single" w:sz="4" w:space="0" w:color="auto"/>
            </w:tcBorders>
            <w:vAlign w:val="center"/>
          </w:tcPr>
          <w:p w14:paraId="08C25A6D" w14:textId="3EFF89F0"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£369</w:t>
            </w:r>
          </w:p>
        </w:tc>
        <w:tc>
          <w:tcPr>
            <w:tcW w:w="368" w:type="pct"/>
            <w:tcBorders>
              <w:top w:val="single" w:sz="4" w:space="0" w:color="auto"/>
              <w:left w:val="single" w:sz="4" w:space="0" w:color="auto"/>
              <w:bottom w:val="single" w:sz="4" w:space="0" w:color="auto"/>
              <w:right w:val="single" w:sz="4" w:space="0" w:color="auto"/>
            </w:tcBorders>
            <w:vAlign w:val="center"/>
          </w:tcPr>
          <w:p w14:paraId="2313ACEA" w14:textId="33888683"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£37</w:t>
            </w:r>
            <w:r w:rsidR="009B5F2F">
              <w:rPr>
                <w:rFonts w:asciiTheme="minorHAnsi" w:hAnsiTheme="minorHAnsi" w:cstheme="minorHAnsi"/>
                <w:szCs w:val="16"/>
              </w:rPr>
              <w:t>6</w:t>
            </w:r>
          </w:p>
        </w:tc>
        <w:tc>
          <w:tcPr>
            <w:tcW w:w="526" w:type="pct"/>
            <w:tcBorders>
              <w:top w:val="single" w:sz="4" w:space="0" w:color="auto"/>
              <w:left w:val="single" w:sz="4" w:space="0" w:color="auto"/>
              <w:bottom w:val="single" w:sz="4" w:space="0" w:color="auto"/>
              <w:right w:val="single" w:sz="4" w:space="0" w:color="auto"/>
            </w:tcBorders>
            <w:vAlign w:val="center"/>
          </w:tcPr>
          <w:p w14:paraId="44DD5204" w14:textId="1ABCE9E9"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szCs w:val="16"/>
              </w:rPr>
              <w:t>25%</w:t>
            </w:r>
          </w:p>
        </w:tc>
      </w:tr>
      <w:tr w:rsidR="00295831" w:rsidRPr="00374C95" w14:paraId="03C5F768" w14:textId="77777777" w:rsidTr="002D4F56">
        <w:trPr>
          <w:trHeight w:val="288"/>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884A7" w14:textId="26A8542B" w:rsidR="00295831" w:rsidRPr="009B5F2F" w:rsidRDefault="00295831" w:rsidP="00295831">
            <w:pPr>
              <w:jc w:val="both"/>
              <w:rPr>
                <w:rFonts w:asciiTheme="minorHAnsi" w:hAnsiTheme="minorHAnsi" w:cstheme="minorHAnsi"/>
                <w:sz w:val="18"/>
                <w:szCs w:val="18"/>
              </w:rPr>
            </w:pPr>
            <w:r w:rsidRPr="009B5F2F">
              <w:rPr>
                <w:rFonts w:asciiTheme="minorHAnsi" w:hAnsiTheme="minorHAnsi" w:cstheme="minorHAnsi"/>
                <w:sz w:val="18"/>
                <w:szCs w:val="18"/>
              </w:rPr>
              <w:t>Semi-Detached</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5AD8C" w14:textId="1A501D1D"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£199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F9426" w14:textId="4E8C5625"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349CE" w14:textId="506CB20B"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£21</w:t>
            </w:r>
            <w:r w:rsidR="009B5F2F">
              <w:rPr>
                <w:rFonts w:asciiTheme="minorHAnsi" w:hAnsiTheme="minorHAnsi" w:cstheme="minorHAnsi"/>
                <w:szCs w:val="16"/>
              </w:rPr>
              <w:t>1</w:t>
            </w:r>
          </w:p>
        </w:tc>
        <w:tc>
          <w:tcPr>
            <w:tcW w:w="367" w:type="pct"/>
            <w:tcBorders>
              <w:top w:val="single" w:sz="4" w:space="0" w:color="auto"/>
              <w:left w:val="single" w:sz="4" w:space="0" w:color="auto"/>
              <w:bottom w:val="single" w:sz="4" w:space="0" w:color="auto"/>
              <w:right w:val="single" w:sz="4" w:space="0" w:color="auto"/>
            </w:tcBorders>
            <w:vAlign w:val="center"/>
          </w:tcPr>
          <w:p w14:paraId="7E831FB3" w14:textId="323D11FA"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£222</w:t>
            </w:r>
          </w:p>
        </w:tc>
        <w:tc>
          <w:tcPr>
            <w:tcW w:w="368" w:type="pct"/>
            <w:tcBorders>
              <w:top w:val="single" w:sz="4" w:space="0" w:color="auto"/>
              <w:left w:val="single" w:sz="4" w:space="0" w:color="auto"/>
              <w:bottom w:val="single" w:sz="4" w:space="0" w:color="auto"/>
              <w:right w:val="single" w:sz="4" w:space="0" w:color="auto"/>
            </w:tcBorders>
            <w:vAlign w:val="center"/>
          </w:tcPr>
          <w:p w14:paraId="07641B41" w14:textId="34639887"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£231</w:t>
            </w:r>
          </w:p>
        </w:tc>
        <w:tc>
          <w:tcPr>
            <w:tcW w:w="369" w:type="pct"/>
            <w:tcBorders>
              <w:top w:val="single" w:sz="4" w:space="0" w:color="auto"/>
              <w:left w:val="single" w:sz="4" w:space="0" w:color="auto"/>
              <w:bottom w:val="single" w:sz="4" w:space="0" w:color="auto"/>
              <w:right w:val="single" w:sz="4" w:space="0" w:color="auto"/>
            </w:tcBorders>
            <w:vAlign w:val="center"/>
          </w:tcPr>
          <w:p w14:paraId="26763E98" w14:textId="2A00D914"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£245</w:t>
            </w:r>
          </w:p>
        </w:tc>
        <w:tc>
          <w:tcPr>
            <w:tcW w:w="441" w:type="pct"/>
            <w:tcBorders>
              <w:top w:val="single" w:sz="4" w:space="0" w:color="auto"/>
              <w:left w:val="single" w:sz="4" w:space="0" w:color="auto"/>
              <w:bottom w:val="single" w:sz="4" w:space="0" w:color="auto"/>
              <w:right w:val="single" w:sz="4" w:space="0" w:color="auto"/>
            </w:tcBorders>
            <w:vAlign w:val="center"/>
          </w:tcPr>
          <w:p w14:paraId="214C069E" w14:textId="5998727A"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£26</w:t>
            </w:r>
            <w:r w:rsidR="009B5F2F">
              <w:rPr>
                <w:rFonts w:asciiTheme="minorHAnsi" w:hAnsiTheme="minorHAnsi" w:cstheme="minorHAnsi"/>
                <w:szCs w:val="16"/>
              </w:rPr>
              <w:t>3</w:t>
            </w:r>
          </w:p>
        </w:tc>
        <w:tc>
          <w:tcPr>
            <w:tcW w:w="368" w:type="pct"/>
            <w:tcBorders>
              <w:top w:val="single" w:sz="4" w:space="0" w:color="auto"/>
              <w:left w:val="single" w:sz="4" w:space="0" w:color="auto"/>
              <w:bottom w:val="single" w:sz="4" w:space="0" w:color="auto"/>
              <w:right w:val="single" w:sz="4" w:space="0" w:color="auto"/>
            </w:tcBorders>
            <w:vAlign w:val="center"/>
          </w:tcPr>
          <w:p w14:paraId="7CA6941E" w14:textId="29A580DB"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£27</w:t>
            </w:r>
            <w:r w:rsidR="009B5F2F">
              <w:rPr>
                <w:rFonts w:asciiTheme="minorHAnsi" w:hAnsiTheme="minorHAnsi" w:cstheme="minorHAnsi"/>
                <w:szCs w:val="16"/>
              </w:rPr>
              <w:t>1</w:t>
            </w:r>
          </w:p>
        </w:tc>
        <w:tc>
          <w:tcPr>
            <w:tcW w:w="367" w:type="pct"/>
            <w:tcBorders>
              <w:top w:val="single" w:sz="4" w:space="0" w:color="auto"/>
              <w:left w:val="single" w:sz="4" w:space="0" w:color="auto"/>
              <w:bottom w:val="single" w:sz="4" w:space="0" w:color="auto"/>
              <w:right w:val="single" w:sz="4" w:space="0" w:color="auto"/>
            </w:tcBorders>
            <w:vAlign w:val="center"/>
          </w:tcPr>
          <w:p w14:paraId="1D8D2FFF" w14:textId="58C1099D"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£25</w:t>
            </w:r>
            <w:r w:rsidR="009B5F2F">
              <w:rPr>
                <w:rFonts w:asciiTheme="minorHAnsi" w:hAnsiTheme="minorHAnsi" w:cstheme="minorHAnsi"/>
                <w:szCs w:val="16"/>
              </w:rPr>
              <w:t>4</w:t>
            </w:r>
          </w:p>
        </w:tc>
        <w:tc>
          <w:tcPr>
            <w:tcW w:w="368" w:type="pct"/>
            <w:tcBorders>
              <w:top w:val="single" w:sz="4" w:space="0" w:color="auto"/>
              <w:left w:val="single" w:sz="4" w:space="0" w:color="auto"/>
              <w:bottom w:val="single" w:sz="4" w:space="0" w:color="auto"/>
              <w:right w:val="single" w:sz="4" w:space="0" w:color="auto"/>
            </w:tcBorders>
            <w:vAlign w:val="center"/>
          </w:tcPr>
          <w:p w14:paraId="4C770F18" w14:textId="5DBD1687"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£26</w:t>
            </w:r>
            <w:r w:rsidR="009B5F2F">
              <w:rPr>
                <w:rFonts w:asciiTheme="minorHAnsi" w:hAnsiTheme="minorHAnsi" w:cstheme="minorHAnsi"/>
                <w:szCs w:val="16"/>
              </w:rPr>
              <w:t>2</w:t>
            </w:r>
          </w:p>
        </w:tc>
        <w:tc>
          <w:tcPr>
            <w:tcW w:w="526" w:type="pct"/>
            <w:tcBorders>
              <w:top w:val="single" w:sz="4" w:space="0" w:color="auto"/>
              <w:left w:val="single" w:sz="4" w:space="0" w:color="auto"/>
              <w:bottom w:val="single" w:sz="4" w:space="0" w:color="auto"/>
              <w:right w:val="single" w:sz="4" w:space="0" w:color="auto"/>
            </w:tcBorders>
            <w:vAlign w:val="center"/>
          </w:tcPr>
          <w:p w14:paraId="0E8AF42C" w14:textId="01936917"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szCs w:val="16"/>
              </w:rPr>
              <w:t>31%</w:t>
            </w:r>
          </w:p>
        </w:tc>
      </w:tr>
      <w:tr w:rsidR="00295831" w:rsidRPr="00374C95" w14:paraId="06DD8C4C" w14:textId="77777777" w:rsidTr="002D4F56">
        <w:trPr>
          <w:trHeight w:val="288"/>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105D4" w14:textId="66F6FE9B" w:rsidR="00295831" w:rsidRPr="009B5F2F" w:rsidRDefault="00295831" w:rsidP="00295831">
            <w:pPr>
              <w:jc w:val="both"/>
              <w:rPr>
                <w:rFonts w:asciiTheme="minorHAnsi" w:hAnsiTheme="minorHAnsi" w:cstheme="minorHAnsi"/>
                <w:sz w:val="18"/>
                <w:szCs w:val="18"/>
              </w:rPr>
            </w:pPr>
            <w:r w:rsidRPr="009B5F2F">
              <w:rPr>
                <w:rFonts w:asciiTheme="minorHAnsi" w:hAnsiTheme="minorHAnsi" w:cstheme="minorHAnsi"/>
                <w:sz w:val="18"/>
                <w:szCs w:val="18"/>
              </w:rPr>
              <w:t>Terraced</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3986F0" w14:textId="45E01938"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£185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A4E66" w14:textId="33396C2C"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£17</w:t>
            </w:r>
            <w:r w:rsidR="009B5F2F">
              <w:rPr>
                <w:rFonts w:asciiTheme="minorHAnsi" w:hAnsiTheme="minorHAnsi" w:cstheme="minorHAnsi"/>
                <w:szCs w:val="16"/>
              </w:rPr>
              <w:t>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E7526" w14:textId="177855F7"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£177</w:t>
            </w:r>
          </w:p>
        </w:tc>
        <w:tc>
          <w:tcPr>
            <w:tcW w:w="367" w:type="pct"/>
            <w:tcBorders>
              <w:top w:val="single" w:sz="4" w:space="0" w:color="auto"/>
              <w:left w:val="single" w:sz="4" w:space="0" w:color="auto"/>
              <w:bottom w:val="single" w:sz="4" w:space="0" w:color="auto"/>
              <w:right w:val="single" w:sz="4" w:space="0" w:color="auto"/>
            </w:tcBorders>
            <w:vAlign w:val="center"/>
          </w:tcPr>
          <w:p w14:paraId="6A010154" w14:textId="443DE482"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£17</w:t>
            </w:r>
            <w:r w:rsidR="009B5F2F">
              <w:rPr>
                <w:rFonts w:asciiTheme="minorHAnsi" w:hAnsiTheme="minorHAnsi" w:cstheme="minorHAnsi"/>
                <w:szCs w:val="16"/>
              </w:rPr>
              <w:t>9</w:t>
            </w:r>
          </w:p>
        </w:tc>
        <w:tc>
          <w:tcPr>
            <w:tcW w:w="368" w:type="pct"/>
            <w:tcBorders>
              <w:top w:val="single" w:sz="4" w:space="0" w:color="auto"/>
              <w:left w:val="single" w:sz="4" w:space="0" w:color="auto"/>
              <w:bottom w:val="single" w:sz="4" w:space="0" w:color="auto"/>
              <w:right w:val="single" w:sz="4" w:space="0" w:color="auto"/>
            </w:tcBorders>
            <w:vAlign w:val="center"/>
          </w:tcPr>
          <w:p w14:paraId="439CDB24" w14:textId="38A73FDF"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£19</w:t>
            </w:r>
            <w:r w:rsidR="009B5F2F">
              <w:rPr>
                <w:rFonts w:asciiTheme="minorHAnsi" w:hAnsiTheme="minorHAnsi" w:cstheme="minorHAnsi"/>
                <w:szCs w:val="16"/>
              </w:rPr>
              <w:t>1</w:t>
            </w:r>
          </w:p>
        </w:tc>
        <w:tc>
          <w:tcPr>
            <w:tcW w:w="369" w:type="pct"/>
            <w:tcBorders>
              <w:top w:val="single" w:sz="4" w:space="0" w:color="auto"/>
              <w:left w:val="single" w:sz="4" w:space="0" w:color="auto"/>
              <w:bottom w:val="single" w:sz="4" w:space="0" w:color="auto"/>
              <w:right w:val="single" w:sz="4" w:space="0" w:color="auto"/>
            </w:tcBorders>
            <w:vAlign w:val="center"/>
          </w:tcPr>
          <w:p w14:paraId="738FD5EF" w14:textId="74D50E7B"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£20</w:t>
            </w:r>
            <w:r w:rsidR="009B5F2F">
              <w:rPr>
                <w:rFonts w:asciiTheme="minorHAnsi" w:hAnsiTheme="minorHAnsi" w:cstheme="minorHAnsi"/>
                <w:szCs w:val="16"/>
              </w:rPr>
              <w:t>1</w:t>
            </w:r>
          </w:p>
        </w:tc>
        <w:tc>
          <w:tcPr>
            <w:tcW w:w="441" w:type="pct"/>
            <w:tcBorders>
              <w:top w:val="single" w:sz="4" w:space="0" w:color="auto"/>
              <w:left w:val="single" w:sz="4" w:space="0" w:color="auto"/>
              <w:bottom w:val="single" w:sz="4" w:space="0" w:color="auto"/>
              <w:right w:val="single" w:sz="4" w:space="0" w:color="auto"/>
            </w:tcBorders>
            <w:vAlign w:val="center"/>
          </w:tcPr>
          <w:p w14:paraId="700F1434" w14:textId="45EBF286"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£20</w:t>
            </w:r>
            <w:r w:rsidR="009B5F2F">
              <w:rPr>
                <w:rFonts w:asciiTheme="minorHAnsi" w:hAnsiTheme="minorHAnsi" w:cstheme="minorHAnsi"/>
                <w:szCs w:val="16"/>
              </w:rPr>
              <w:t>9</w:t>
            </w:r>
          </w:p>
        </w:tc>
        <w:tc>
          <w:tcPr>
            <w:tcW w:w="368" w:type="pct"/>
            <w:tcBorders>
              <w:top w:val="single" w:sz="4" w:space="0" w:color="auto"/>
              <w:left w:val="single" w:sz="4" w:space="0" w:color="auto"/>
              <w:bottom w:val="single" w:sz="4" w:space="0" w:color="auto"/>
              <w:right w:val="single" w:sz="4" w:space="0" w:color="auto"/>
            </w:tcBorders>
            <w:vAlign w:val="center"/>
          </w:tcPr>
          <w:p w14:paraId="0D86FBC4" w14:textId="76842E28"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£21</w:t>
            </w:r>
            <w:r w:rsidR="009B5F2F">
              <w:rPr>
                <w:rFonts w:asciiTheme="minorHAnsi" w:hAnsiTheme="minorHAnsi" w:cstheme="minorHAnsi"/>
                <w:szCs w:val="16"/>
              </w:rPr>
              <w:t>3</w:t>
            </w:r>
          </w:p>
        </w:tc>
        <w:tc>
          <w:tcPr>
            <w:tcW w:w="367" w:type="pct"/>
            <w:tcBorders>
              <w:top w:val="single" w:sz="4" w:space="0" w:color="auto"/>
              <w:left w:val="single" w:sz="4" w:space="0" w:color="auto"/>
              <w:bottom w:val="single" w:sz="4" w:space="0" w:color="auto"/>
              <w:right w:val="single" w:sz="4" w:space="0" w:color="auto"/>
            </w:tcBorders>
            <w:vAlign w:val="center"/>
          </w:tcPr>
          <w:p w14:paraId="0E753ED6" w14:textId="4ED537D0"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£21</w:t>
            </w:r>
            <w:r w:rsidR="009B5F2F">
              <w:rPr>
                <w:rFonts w:asciiTheme="minorHAnsi" w:hAnsiTheme="minorHAnsi" w:cstheme="minorHAnsi"/>
                <w:szCs w:val="16"/>
              </w:rPr>
              <w:t>4</w:t>
            </w:r>
          </w:p>
        </w:tc>
        <w:tc>
          <w:tcPr>
            <w:tcW w:w="368" w:type="pct"/>
            <w:tcBorders>
              <w:top w:val="single" w:sz="4" w:space="0" w:color="auto"/>
              <w:left w:val="single" w:sz="4" w:space="0" w:color="auto"/>
              <w:bottom w:val="single" w:sz="4" w:space="0" w:color="auto"/>
              <w:right w:val="single" w:sz="4" w:space="0" w:color="auto"/>
            </w:tcBorders>
            <w:vAlign w:val="center"/>
          </w:tcPr>
          <w:p w14:paraId="42F846CC" w14:textId="32931268"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£21</w:t>
            </w:r>
            <w:r w:rsidR="009B5F2F">
              <w:rPr>
                <w:rFonts w:asciiTheme="minorHAnsi" w:hAnsiTheme="minorHAnsi" w:cstheme="minorHAnsi"/>
                <w:szCs w:val="16"/>
              </w:rPr>
              <w:t>8</w:t>
            </w:r>
          </w:p>
        </w:tc>
        <w:tc>
          <w:tcPr>
            <w:tcW w:w="526" w:type="pct"/>
            <w:tcBorders>
              <w:top w:val="single" w:sz="4" w:space="0" w:color="auto"/>
              <w:left w:val="single" w:sz="4" w:space="0" w:color="auto"/>
              <w:bottom w:val="single" w:sz="4" w:space="0" w:color="auto"/>
              <w:right w:val="single" w:sz="4" w:space="0" w:color="auto"/>
            </w:tcBorders>
            <w:vAlign w:val="center"/>
          </w:tcPr>
          <w:p w14:paraId="49C0DCA5" w14:textId="45D44111"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szCs w:val="16"/>
              </w:rPr>
              <w:t>1</w:t>
            </w:r>
            <w:r w:rsidR="009B5F2F">
              <w:rPr>
                <w:rFonts w:asciiTheme="minorHAnsi" w:hAnsiTheme="minorHAnsi" w:cstheme="minorHAnsi"/>
                <w:szCs w:val="16"/>
              </w:rPr>
              <w:t>8</w:t>
            </w:r>
            <w:r w:rsidRPr="009B5F2F">
              <w:rPr>
                <w:rFonts w:asciiTheme="minorHAnsi" w:hAnsiTheme="minorHAnsi" w:cstheme="minorHAnsi"/>
                <w:szCs w:val="16"/>
              </w:rPr>
              <w:t>%</w:t>
            </w:r>
          </w:p>
        </w:tc>
      </w:tr>
      <w:tr w:rsidR="00295831" w:rsidRPr="00374C95" w14:paraId="7D138172" w14:textId="77777777" w:rsidTr="002D4F56">
        <w:trPr>
          <w:trHeight w:val="300"/>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BF7BA" w14:textId="533E97F1" w:rsidR="00295831" w:rsidRPr="009B5F2F" w:rsidRDefault="00295831" w:rsidP="00295831">
            <w:pPr>
              <w:jc w:val="both"/>
              <w:rPr>
                <w:rFonts w:asciiTheme="minorHAnsi" w:hAnsiTheme="minorHAnsi" w:cstheme="minorHAnsi"/>
                <w:sz w:val="18"/>
                <w:szCs w:val="18"/>
              </w:rPr>
            </w:pPr>
            <w:r w:rsidRPr="009B5F2F">
              <w:rPr>
                <w:rFonts w:asciiTheme="minorHAnsi" w:hAnsiTheme="minorHAnsi" w:cstheme="minorHAnsi"/>
                <w:sz w:val="18"/>
                <w:szCs w:val="18"/>
              </w:rPr>
              <w:t>Flats</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6F3B9CA5" w14:textId="48873CDA"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£139</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5CF54C5E" w14:textId="4981C14A" w:rsidR="009B5F2F"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£151</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497F97AD" w14:textId="5848680C"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£16</w:t>
            </w:r>
            <w:r w:rsidR="009B5F2F">
              <w:rPr>
                <w:rFonts w:asciiTheme="minorHAnsi" w:hAnsiTheme="minorHAnsi" w:cstheme="minorHAnsi"/>
                <w:szCs w:val="16"/>
              </w:rPr>
              <w:t>3</w:t>
            </w:r>
          </w:p>
        </w:tc>
        <w:tc>
          <w:tcPr>
            <w:tcW w:w="367" w:type="pct"/>
            <w:tcBorders>
              <w:top w:val="single" w:sz="4" w:space="0" w:color="auto"/>
              <w:left w:val="nil"/>
              <w:bottom w:val="single" w:sz="4" w:space="0" w:color="auto"/>
              <w:right w:val="single" w:sz="4" w:space="0" w:color="auto"/>
            </w:tcBorders>
            <w:vAlign w:val="center"/>
          </w:tcPr>
          <w:p w14:paraId="3EEAA668" w14:textId="22B630C3"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£153</w:t>
            </w:r>
          </w:p>
        </w:tc>
        <w:tc>
          <w:tcPr>
            <w:tcW w:w="368" w:type="pct"/>
            <w:tcBorders>
              <w:top w:val="single" w:sz="4" w:space="0" w:color="auto"/>
              <w:left w:val="nil"/>
              <w:bottom w:val="single" w:sz="4" w:space="0" w:color="auto"/>
              <w:right w:val="single" w:sz="4" w:space="0" w:color="auto"/>
            </w:tcBorders>
            <w:vAlign w:val="center"/>
          </w:tcPr>
          <w:p w14:paraId="4AFEC676" w14:textId="14018DDF"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£17</w:t>
            </w:r>
            <w:r w:rsidR="009B5F2F">
              <w:rPr>
                <w:rFonts w:asciiTheme="minorHAnsi" w:hAnsiTheme="minorHAnsi" w:cstheme="minorHAnsi"/>
                <w:szCs w:val="16"/>
              </w:rPr>
              <w:t>5</w:t>
            </w:r>
          </w:p>
        </w:tc>
        <w:tc>
          <w:tcPr>
            <w:tcW w:w="369" w:type="pct"/>
            <w:tcBorders>
              <w:top w:val="single" w:sz="4" w:space="0" w:color="auto"/>
              <w:left w:val="nil"/>
              <w:bottom w:val="single" w:sz="4" w:space="0" w:color="auto"/>
              <w:right w:val="single" w:sz="4" w:space="0" w:color="auto"/>
            </w:tcBorders>
            <w:vAlign w:val="center"/>
          </w:tcPr>
          <w:p w14:paraId="2B107F2D" w14:textId="2263551E"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£17</w:t>
            </w:r>
            <w:r w:rsidR="009B5F2F">
              <w:rPr>
                <w:rFonts w:asciiTheme="minorHAnsi" w:hAnsiTheme="minorHAnsi" w:cstheme="minorHAnsi"/>
                <w:szCs w:val="16"/>
              </w:rPr>
              <w:t>3</w:t>
            </w:r>
          </w:p>
        </w:tc>
        <w:tc>
          <w:tcPr>
            <w:tcW w:w="441" w:type="pct"/>
            <w:tcBorders>
              <w:top w:val="single" w:sz="4" w:space="0" w:color="auto"/>
              <w:left w:val="nil"/>
              <w:bottom w:val="single" w:sz="4" w:space="0" w:color="auto"/>
              <w:right w:val="single" w:sz="4" w:space="0" w:color="auto"/>
            </w:tcBorders>
            <w:vAlign w:val="center"/>
          </w:tcPr>
          <w:p w14:paraId="32EBA0D0" w14:textId="14ECE055"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£16</w:t>
            </w:r>
            <w:r w:rsidR="009B5F2F">
              <w:rPr>
                <w:rFonts w:asciiTheme="minorHAnsi" w:hAnsiTheme="minorHAnsi" w:cstheme="minorHAnsi"/>
                <w:szCs w:val="16"/>
              </w:rPr>
              <w:t>6</w:t>
            </w:r>
          </w:p>
        </w:tc>
        <w:tc>
          <w:tcPr>
            <w:tcW w:w="368" w:type="pct"/>
            <w:tcBorders>
              <w:top w:val="single" w:sz="4" w:space="0" w:color="auto"/>
              <w:left w:val="nil"/>
              <w:bottom w:val="single" w:sz="4" w:space="0" w:color="auto"/>
              <w:right w:val="single" w:sz="4" w:space="0" w:color="auto"/>
            </w:tcBorders>
            <w:vAlign w:val="center"/>
          </w:tcPr>
          <w:p w14:paraId="14851FA3" w14:textId="4C081AF3"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£15</w:t>
            </w:r>
            <w:r w:rsidR="009B5F2F">
              <w:rPr>
                <w:rFonts w:asciiTheme="minorHAnsi" w:hAnsiTheme="minorHAnsi" w:cstheme="minorHAnsi"/>
                <w:szCs w:val="16"/>
              </w:rPr>
              <w:t>5</w:t>
            </w:r>
          </w:p>
        </w:tc>
        <w:tc>
          <w:tcPr>
            <w:tcW w:w="367" w:type="pct"/>
            <w:tcBorders>
              <w:top w:val="single" w:sz="4" w:space="0" w:color="auto"/>
              <w:left w:val="nil"/>
              <w:bottom w:val="single" w:sz="4" w:space="0" w:color="auto"/>
              <w:right w:val="single" w:sz="4" w:space="0" w:color="auto"/>
            </w:tcBorders>
            <w:vAlign w:val="center"/>
          </w:tcPr>
          <w:p w14:paraId="521B5C0C" w14:textId="7A92FFB1"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£161</w:t>
            </w:r>
          </w:p>
        </w:tc>
        <w:tc>
          <w:tcPr>
            <w:tcW w:w="368" w:type="pct"/>
            <w:tcBorders>
              <w:top w:val="single" w:sz="4" w:space="0" w:color="auto"/>
              <w:left w:val="nil"/>
              <w:bottom w:val="single" w:sz="4" w:space="0" w:color="auto"/>
              <w:right w:val="single" w:sz="4" w:space="0" w:color="auto"/>
            </w:tcBorders>
            <w:vAlign w:val="center"/>
          </w:tcPr>
          <w:p w14:paraId="7EA71C29" w14:textId="184BD61F" w:rsidR="00295831" w:rsidRPr="009B5F2F" w:rsidRDefault="00295831" w:rsidP="00295831">
            <w:pPr>
              <w:jc w:val="both"/>
              <w:rPr>
                <w:rFonts w:asciiTheme="minorHAnsi" w:hAnsiTheme="minorHAnsi" w:cstheme="minorHAnsi"/>
                <w:szCs w:val="16"/>
              </w:rPr>
            </w:pPr>
            <w:r w:rsidRPr="009B5F2F">
              <w:rPr>
                <w:rFonts w:asciiTheme="minorHAnsi" w:hAnsiTheme="minorHAnsi" w:cstheme="minorHAnsi"/>
                <w:szCs w:val="16"/>
              </w:rPr>
              <w:t>£160</w:t>
            </w:r>
          </w:p>
        </w:tc>
        <w:tc>
          <w:tcPr>
            <w:tcW w:w="526" w:type="pct"/>
            <w:tcBorders>
              <w:top w:val="single" w:sz="4" w:space="0" w:color="auto"/>
              <w:left w:val="nil"/>
              <w:bottom w:val="single" w:sz="4" w:space="0" w:color="auto"/>
              <w:right w:val="single" w:sz="4" w:space="0" w:color="auto"/>
            </w:tcBorders>
            <w:vAlign w:val="center"/>
          </w:tcPr>
          <w:p w14:paraId="6BF04EFF" w14:textId="3FCE44AB"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szCs w:val="16"/>
              </w:rPr>
              <w:t>15%</w:t>
            </w:r>
          </w:p>
        </w:tc>
      </w:tr>
      <w:tr w:rsidR="00295831" w:rsidRPr="00374C95" w14:paraId="372E9535" w14:textId="77777777" w:rsidTr="002D4F56">
        <w:trPr>
          <w:trHeight w:val="300"/>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59F982" w14:textId="70B83405" w:rsidR="00295831" w:rsidRPr="009B5F2F" w:rsidRDefault="00295831" w:rsidP="00295831">
            <w:pPr>
              <w:jc w:val="both"/>
              <w:rPr>
                <w:rFonts w:asciiTheme="minorHAnsi" w:hAnsiTheme="minorHAnsi" w:cstheme="minorHAnsi"/>
                <w:b/>
                <w:sz w:val="18"/>
                <w:szCs w:val="18"/>
              </w:rPr>
            </w:pPr>
            <w:r w:rsidRPr="009B5F2F">
              <w:rPr>
                <w:rFonts w:asciiTheme="minorHAnsi" w:hAnsiTheme="minorHAnsi" w:cstheme="minorHAnsi"/>
                <w:b/>
                <w:bCs/>
                <w:sz w:val="18"/>
                <w:szCs w:val="18"/>
              </w:rPr>
              <w:t>All Types*</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46C5DD3F" w14:textId="477C6D8C"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£21</w:t>
            </w:r>
            <w:r w:rsidR="009B5F2F">
              <w:rPr>
                <w:rFonts w:asciiTheme="minorHAnsi" w:hAnsiTheme="minorHAnsi" w:cstheme="minorHAnsi"/>
                <w:b/>
                <w:bCs/>
                <w:szCs w:val="16"/>
              </w:rPr>
              <w:t>3</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2FC59ED1" w14:textId="1C346B84"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£211</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4B6A851A" w14:textId="2E7F4010"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£277</w:t>
            </w:r>
          </w:p>
        </w:tc>
        <w:tc>
          <w:tcPr>
            <w:tcW w:w="367" w:type="pct"/>
            <w:tcBorders>
              <w:top w:val="single" w:sz="4" w:space="0" w:color="auto"/>
              <w:left w:val="nil"/>
              <w:bottom w:val="single" w:sz="4" w:space="0" w:color="auto"/>
              <w:right w:val="single" w:sz="4" w:space="0" w:color="auto"/>
            </w:tcBorders>
            <w:vAlign w:val="center"/>
          </w:tcPr>
          <w:p w14:paraId="508113BB" w14:textId="6B0023DC"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£21</w:t>
            </w:r>
            <w:r w:rsidR="009B5F2F">
              <w:rPr>
                <w:rFonts w:asciiTheme="minorHAnsi" w:hAnsiTheme="minorHAnsi" w:cstheme="minorHAnsi"/>
                <w:b/>
                <w:bCs/>
                <w:szCs w:val="16"/>
              </w:rPr>
              <w:t>7</w:t>
            </w:r>
          </w:p>
        </w:tc>
        <w:tc>
          <w:tcPr>
            <w:tcW w:w="368" w:type="pct"/>
            <w:tcBorders>
              <w:top w:val="single" w:sz="4" w:space="0" w:color="auto"/>
              <w:left w:val="nil"/>
              <w:bottom w:val="single" w:sz="4" w:space="0" w:color="auto"/>
              <w:right w:val="single" w:sz="4" w:space="0" w:color="auto"/>
            </w:tcBorders>
            <w:vAlign w:val="center"/>
          </w:tcPr>
          <w:p w14:paraId="02DECC3F" w14:textId="13A4DECD"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£23</w:t>
            </w:r>
            <w:r w:rsidR="009B5F2F">
              <w:rPr>
                <w:rFonts w:asciiTheme="minorHAnsi" w:hAnsiTheme="minorHAnsi" w:cstheme="minorHAnsi"/>
                <w:b/>
                <w:bCs/>
                <w:szCs w:val="16"/>
              </w:rPr>
              <w:t>5</w:t>
            </w:r>
          </w:p>
        </w:tc>
        <w:tc>
          <w:tcPr>
            <w:tcW w:w="369" w:type="pct"/>
            <w:tcBorders>
              <w:top w:val="single" w:sz="4" w:space="0" w:color="auto"/>
              <w:left w:val="nil"/>
              <w:bottom w:val="single" w:sz="4" w:space="0" w:color="auto"/>
              <w:right w:val="single" w:sz="4" w:space="0" w:color="auto"/>
            </w:tcBorders>
            <w:vAlign w:val="center"/>
          </w:tcPr>
          <w:p w14:paraId="384E4229" w14:textId="718BD2F4"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w:t>
            </w:r>
            <w:r w:rsidR="009B5F2F">
              <w:rPr>
                <w:rFonts w:asciiTheme="minorHAnsi" w:hAnsiTheme="minorHAnsi" w:cstheme="minorHAnsi"/>
                <w:b/>
                <w:bCs/>
                <w:szCs w:val="16"/>
              </w:rPr>
              <w:t>40</w:t>
            </w:r>
          </w:p>
        </w:tc>
        <w:tc>
          <w:tcPr>
            <w:tcW w:w="441" w:type="pct"/>
            <w:tcBorders>
              <w:top w:val="single" w:sz="4" w:space="0" w:color="auto"/>
              <w:left w:val="nil"/>
              <w:bottom w:val="single" w:sz="4" w:space="0" w:color="auto"/>
              <w:right w:val="single" w:sz="4" w:space="0" w:color="auto"/>
            </w:tcBorders>
            <w:vAlign w:val="center"/>
          </w:tcPr>
          <w:p w14:paraId="2D4CFE5B" w14:textId="1CE4E32E"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£272</w:t>
            </w:r>
          </w:p>
        </w:tc>
        <w:tc>
          <w:tcPr>
            <w:tcW w:w="368" w:type="pct"/>
            <w:tcBorders>
              <w:top w:val="single" w:sz="4" w:space="0" w:color="auto"/>
              <w:left w:val="nil"/>
              <w:bottom w:val="single" w:sz="4" w:space="0" w:color="auto"/>
              <w:right w:val="single" w:sz="4" w:space="0" w:color="auto"/>
            </w:tcBorders>
            <w:vAlign w:val="center"/>
          </w:tcPr>
          <w:p w14:paraId="7DC6C345" w14:textId="16125BC6"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£266</w:t>
            </w:r>
          </w:p>
        </w:tc>
        <w:tc>
          <w:tcPr>
            <w:tcW w:w="367" w:type="pct"/>
            <w:tcBorders>
              <w:top w:val="single" w:sz="4" w:space="0" w:color="auto"/>
              <w:left w:val="nil"/>
              <w:bottom w:val="single" w:sz="4" w:space="0" w:color="auto"/>
              <w:right w:val="single" w:sz="4" w:space="0" w:color="auto"/>
            </w:tcBorders>
            <w:vAlign w:val="center"/>
          </w:tcPr>
          <w:p w14:paraId="4D3E2294" w14:textId="67D0EAF9"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£280</w:t>
            </w:r>
          </w:p>
        </w:tc>
        <w:tc>
          <w:tcPr>
            <w:tcW w:w="368" w:type="pct"/>
            <w:tcBorders>
              <w:top w:val="single" w:sz="4" w:space="0" w:color="auto"/>
              <w:left w:val="nil"/>
              <w:bottom w:val="single" w:sz="4" w:space="0" w:color="auto"/>
              <w:right w:val="single" w:sz="4" w:space="0" w:color="auto"/>
            </w:tcBorders>
            <w:vAlign w:val="center"/>
          </w:tcPr>
          <w:p w14:paraId="63C172FC" w14:textId="6268676B"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b/>
                <w:bCs/>
                <w:szCs w:val="16"/>
              </w:rPr>
              <w:t>£282</w:t>
            </w:r>
          </w:p>
        </w:tc>
        <w:tc>
          <w:tcPr>
            <w:tcW w:w="526" w:type="pct"/>
            <w:tcBorders>
              <w:top w:val="single" w:sz="4" w:space="0" w:color="auto"/>
              <w:left w:val="nil"/>
              <w:bottom w:val="single" w:sz="4" w:space="0" w:color="auto"/>
              <w:right w:val="single" w:sz="4" w:space="0" w:color="auto"/>
            </w:tcBorders>
            <w:vAlign w:val="center"/>
          </w:tcPr>
          <w:p w14:paraId="0F652AFB" w14:textId="03D03FC5" w:rsidR="00295831" w:rsidRPr="009B5F2F" w:rsidRDefault="00295831" w:rsidP="00295831">
            <w:pPr>
              <w:jc w:val="both"/>
              <w:rPr>
                <w:rFonts w:asciiTheme="minorHAnsi" w:hAnsiTheme="minorHAnsi" w:cstheme="minorHAnsi"/>
                <w:b/>
                <w:szCs w:val="16"/>
              </w:rPr>
            </w:pPr>
            <w:r w:rsidRPr="009B5F2F">
              <w:rPr>
                <w:rFonts w:asciiTheme="minorHAnsi" w:hAnsiTheme="minorHAnsi" w:cstheme="minorHAnsi"/>
                <w:szCs w:val="16"/>
              </w:rPr>
              <w:t>3</w:t>
            </w:r>
            <w:r w:rsidR="009B5F2F">
              <w:rPr>
                <w:rFonts w:asciiTheme="minorHAnsi" w:hAnsiTheme="minorHAnsi" w:cstheme="minorHAnsi"/>
                <w:szCs w:val="16"/>
              </w:rPr>
              <w:t>3</w:t>
            </w:r>
            <w:r w:rsidRPr="009B5F2F">
              <w:rPr>
                <w:rFonts w:asciiTheme="minorHAnsi" w:hAnsiTheme="minorHAnsi" w:cstheme="minorHAnsi"/>
                <w:szCs w:val="16"/>
              </w:rPr>
              <w:t>%</w:t>
            </w:r>
          </w:p>
        </w:tc>
      </w:tr>
    </w:tbl>
    <w:p w14:paraId="111EEAAC" w14:textId="77777777" w:rsidR="002C2D5C" w:rsidRPr="00374C95" w:rsidRDefault="002C2D5C" w:rsidP="002C2D5C">
      <w:pPr>
        <w:pStyle w:val="Source"/>
        <w:jc w:val="both"/>
        <w:rPr>
          <w:sz w:val="18"/>
          <w:szCs w:val="18"/>
          <w:lang w:val="en-GB"/>
        </w:rPr>
      </w:pPr>
      <w:r w:rsidRPr="00374C95">
        <w:rPr>
          <w:sz w:val="18"/>
          <w:szCs w:val="18"/>
          <w:lang w:val="en-GB"/>
        </w:rPr>
        <w:t>Source: Land Registry PPD</w:t>
      </w:r>
    </w:p>
    <w:p w14:paraId="021B6BBD" w14:textId="7A07BA4B" w:rsidR="00D272A0" w:rsidRPr="00AF2A60" w:rsidRDefault="00D272A0" w:rsidP="00D272A0">
      <w:pPr>
        <w:pStyle w:val="Heading3"/>
      </w:pPr>
      <w:bookmarkStart w:id="101" w:name="_Toc64026800"/>
      <w:r>
        <w:t>Income</w:t>
      </w:r>
      <w:bookmarkEnd w:id="101"/>
    </w:p>
    <w:p w14:paraId="3F26AB8C" w14:textId="7E4BA6D9" w:rsidR="00BB2201" w:rsidRDefault="00D272A0" w:rsidP="00A82210">
      <w:pPr>
        <w:pStyle w:val="ListNumber"/>
      </w:pPr>
      <w:r>
        <w:t>Household i</w:t>
      </w:r>
      <w:r w:rsidRPr="00D272A0">
        <w:t xml:space="preserve">ncomes </w:t>
      </w:r>
      <w:r>
        <w:t xml:space="preserve">determine </w:t>
      </w:r>
      <w:r w:rsidRPr="00D272A0">
        <w:t>the ability of households to exercise choice in the housing market</w:t>
      </w:r>
      <w:r>
        <w:t xml:space="preserve">, </w:t>
      </w:r>
      <w:r w:rsidRPr="00D272A0">
        <w:t xml:space="preserve">and </w:t>
      </w:r>
      <w:r>
        <w:t xml:space="preserve">consequently </w:t>
      </w:r>
      <w:r w:rsidR="00E10646">
        <w:t>the level of need for affordable housing</w:t>
      </w:r>
      <w:r w:rsidRPr="00D272A0">
        <w:t xml:space="preserve"> products. </w:t>
      </w:r>
      <w:r w:rsidR="004A24C8">
        <w:t>T</w:t>
      </w:r>
      <w:r w:rsidR="00BB2201" w:rsidRPr="00BB2201">
        <w:t xml:space="preserve">wo sources of data </w:t>
      </w:r>
      <w:r w:rsidR="004A24C8">
        <w:t xml:space="preserve">are used to examine </w:t>
      </w:r>
      <w:r w:rsidR="00BB2201" w:rsidRPr="00BB2201">
        <w:t>household incomes in the NA.</w:t>
      </w:r>
    </w:p>
    <w:p w14:paraId="7D6A056C" w14:textId="539E5164" w:rsidR="00DF2BD9" w:rsidRDefault="00BB2201" w:rsidP="00A82210">
      <w:pPr>
        <w:pStyle w:val="ListNumber"/>
      </w:pPr>
      <w:r w:rsidRPr="00BB2201">
        <w:t xml:space="preserve">The first </w:t>
      </w:r>
      <w:r w:rsidR="0040775E">
        <w:t xml:space="preserve">source </w:t>
      </w:r>
      <w:r w:rsidRPr="00BB2201">
        <w:t>is locally specific but limited to the average total household income and the median net annual household income</w:t>
      </w:r>
      <w:r w:rsidR="0040775E">
        <w:t xml:space="preserve"> before housing costs (or take-home pay)</w:t>
      </w:r>
      <w:r w:rsidRPr="00BB2201">
        <w:t xml:space="preserve">. </w:t>
      </w:r>
      <w:r w:rsidR="00DF2BD9">
        <w:t xml:space="preserve">This </w:t>
      </w:r>
      <w:r w:rsidR="00FF6750">
        <w:t xml:space="preserve">source </w:t>
      </w:r>
      <w:r w:rsidR="00DF2BD9">
        <w:t xml:space="preserve">is the average household income estimates </w:t>
      </w:r>
      <w:r w:rsidR="00DF2BD9" w:rsidRPr="00D272A0">
        <w:t>published by ONS</w:t>
      </w:r>
      <w:r w:rsidR="00DF2BD9" w:rsidRPr="00DF2BD9">
        <w:rPr>
          <w:vertAlign w:val="superscript"/>
        </w:rPr>
        <w:footnoteReference w:id="23"/>
      </w:r>
      <w:r w:rsidR="00DF2BD9" w:rsidRPr="00D272A0">
        <w:t xml:space="preserve"> at the </w:t>
      </w:r>
      <w:r w:rsidR="00DF2BD9">
        <w:t xml:space="preserve">level of the </w:t>
      </w:r>
      <w:r w:rsidR="00DF2BD9" w:rsidRPr="00D272A0">
        <w:t>Middle-layer Super Output Area (MSOA)</w:t>
      </w:r>
      <w:r w:rsidR="00DF2BD9" w:rsidRPr="00DF2BD9">
        <w:rPr>
          <w:rStyle w:val="FootnoteReference"/>
        </w:rPr>
        <w:footnoteReference w:id="24"/>
      </w:r>
      <w:r w:rsidR="00DF2BD9" w:rsidRPr="00D272A0">
        <w:t xml:space="preserve">. </w:t>
      </w:r>
      <w:r w:rsidR="00DF2BD9">
        <w:t xml:space="preserve">In the case of </w:t>
      </w:r>
      <w:r w:rsidR="0015105E">
        <w:t>Weymouth</w:t>
      </w:r>
      <w:r w:rsidR="00FF6750">
        <w:t>,</w:t>
      </w:r>
      <w:r w:rsidR="00DF2BD9">
        <w:t xml:space="preserve"> the</w:t>
      </w:r>
      <w:r w:rsidR="00947FC1">
        <w:t xml:space="preserve"> seven</w:t>
      </w:r>
      <w:r w:rsidR="00DF2BD9">
        <w:t xml:space="preserve"> MSOA</w:t>
      </w:r>
      <w:r w:rsidR="00DF2BD9" w:rsidRPr="00947FC1">
        <w:t>s</w:t>
      </w:r>
      <w:r w:rsidR="00DF2BD9">
        <w:t xml:space="preserve"> most suitable for use as a proxy for the Neighbourhood Plan area boundary </w:t>
      </w:r>
      <w:r w:rsidR="00947FC1">
        <w:t>a</w:t>
      </w:r>
      <w:r w:rsidR="00DF2BD9" w:rsidRPr="00947FC1">
        <w:t>re</w:t>
      </w:r>
      <w:r w:rsidR="00DF2BD9">
        <w:t xml:space="preserve"> </w:t>
      </w:r>
      <w:r w:rsidR="00FF6750">
        <w:t xml:space="preserve">the </w:t>
      </w:r>
      <w:r w:rsidR="00947FC1">
        <w:t>MSOAs Weymouth and Portland 001</w:t>
      </w:r>
      <w:r w:rsidR="009D645B">
        <w:t xml:space="preserve">- 007. </w:t>
      </w:r>
      <w:r w:rsidR="00DF2BD9">
        <w:t>Further details on the extent of th</w:t>
      </w:r>
      <w:r w:rsidR="00FF6750">
        <w:t>ese</w:t>
      </w:r>
      <w:r w:rsidR="00DF2BD9">
        <w:t xml:space="preserve"> MSOA</w:t>
      </w:r>
      <w:r w:rsidR="00FF6750">
        <w:t>s</w:t>
      </w:r>
      <w:r w:rsidR="00DF2BD9">
        <w:t xml:space="preserve">, including a map, and why </w:t>
      </w:r>
      <w:r w:rsidR="00FF6750">
        <w:t>they were</w:t>
      </w:r>
      <w:r w:rsidR="00DF2BD9">
        <w:t xml:space="preserve"> selected as a proxy for the Neighbourhood Plan area, are set out in Appendix A.</w:t>
      </w:r>
    </w:p>
    <w:p w14:paraId="675EECF4" w14:textId="2F84CA78" w:rsidR="00DF2BD9" w:rsidRPr="0004124F" w:rsidRDefault="00DF2BD9" w:rsidP="00DF2BD9">
      <w:pPr>
        <w:numPr>
          <w:ilvl w:val="0"/>
          <w:numId w:val="15"/>
        </w:numPr>
        <w:spacing w:before="0" w:after="120"/>
        <w:rPr>
          <w:sz w:val="18"/>
          <w:szCs w:val="18"/>
          <w:lang w:val="en-US"/>
        </w:rPr>
      </w:pPr>
      <w:r w:rsidRPr="0004124F">
        <w:rPr>
          <w:sz w:val="18"/>
          <w:szCs w:val="18"/>
          <w:lang w:val="en-US"/>
        </w:rPr>
        <w:t xml:space="preserve">The average </w:t>
      </w:r>
      <w:r w:rsidR="00F056A3">
        <w:rPr>
          <w:sz w:val="18"/>
          <w:szCs w:val="18"/>
          <w:lang w:val="en-US"/>
        </w:rPr>
        <w:t>total</w:t>
      </w:r>
      <w:r w:rsidRPr="0004124F">
        <w:rPr>
          <w:sz w:val="18"/>
          <w:szCs w:val="18"/>
          <w:lang w:val="en-US"/>
        </w:rPr>
        <w:t xml:space="preserve"> household income before housing costs (equalised) </w:t>
      </w:r>
      <w:r>
        <w:rPr>
          <w:sz w:val="18"/>
          <w:szCs w:val="18"/>
          <w:lang w:val="en-US"/>
        </w:rPr>
        <w:t>across</w:t>
      </w:r>
      <w:r w:rsidR="009D645B">
        <w:rPr>
          <w:sz w:val="18"/>
          <w:szCs w:val="18"/>
          <w:lang w:val="en-US"/>
        </w:rPr>
        <w:t xml:space="preserve"> these seven MSOAs equating to the Neighbourhood Area</w:t>
      </w:r>
      <w:r>
        <w:rPr>
          <w:sz w:val="18"/>
          <w:szCs w:val="18"/>
          <w:lang w:val="en-US"/>
        </w:rPr>
        <w:t xml:space="preserve"> </w:t>
      </w:r>
      <w:r w:rsidRPr="0004124F">
        <w:rPr>
          <w:sz w:val="18"/>
          <w:szCs w:val="18"/>
          <w:lang w:val="en-US"/>
        </w:rPr>
        <w:t xml:space="preserve">in </w:t>
      </w:r>
      <w:r w:rsidR="009D645B">
        <w:rPr>
          <w:sz w:val="18"/>
          <w:szCs w:val="18"/>
          <w:lang w:val="en-US"/>
        </w:rPr>
        <w:t>2018</w:t>
      </w:r>
      <w:r w:rsidRPr="0004124F">
        <w:rPr>
          <w:sz w:val="18"/>
          <w:szCs w:val="18"/>
          <w:lang w:val="en-US"/>
        </w:rPr>
        <w:t xml:space="preserve"> was </w:t>
      </w:r>
      <w:r w:rsidR="009D645B">
        <w:rPr>
          <w:sz w:val="18"/>
          <w:szCs w:val="18"/>
          <w:lang w:val="en-US"/>
        </w:rPr>
        <w:t>£39,929</w:t>
      </w:r>
      <w:r w:rsidR="00BD55CA">
        <w:rPr>
          <w:sz w:val="18"/>
          <w:szCs w:val="18"/>
          <w:lang w:val="en-US"/>
        </w:rPr>
        <w:t>. Th</w:t>
      </w:r>
      <w:r w:rsidR="00F06D67">
        <w:rPr>
          <w:sz w:val="18"/>
          <w:szCs w:val="18"/>
          <w:lang w:val="en-US"/>
        </w:rPr>
        <w:t>is</w:t>
      </w:r>
      <w:r w:rsidR="00BD55CA">
        <w:rPr>
          <w:sz w:val="18"/>
          <w:szCs w:val="18"/>
          <w:lang w:val="en-US"/>
        </w:rPr>
        <w:t xml:space="preserve"> figure is typically used by mortgage lenders to assess a household’s ability to afford to borrow</w:t>
      </w:r>
      <w:r w:rsidRPr="0004124F">
        <w:rPr>
          <w:sz w:val="18"/>
          <w:szCs w:val="18"/>
          <w:lang w:val="en-US"/>
        </w:rPr>
        <w:t>.</w:t>
      </w:r>
      <w:r w:rsidRPr="0004124F">
        <w:rPr>
          <w:sz w:val="18"/>
          <w:szCs w:val="18"/>
          <w:vertAlign w:val="superscript"/>
          <w:lang w:val="en-US"/>
        </w:rPr>
        <w:footnoteReference w:id="25"/>
      </w:r>
      <w:r w:rsidRPr="0004124F">
        <w:rPr>
          <w:sz w:val="18"/>
          <w:szCs w:val="18"/>
          <w:vertAlign w:val="superscript"/>
          <w:lang w:val="en-US"/>
        </w:rPr>
        <w:t xml:space="preserve"> </w:t>
      </w:r>
    </w:p>
    <w:p w14:paraId="01336CDA" w14:textId="719BF2DE" w:rsidR="00DF2BD9" w:rsidRDefault="00DF2BD9" w:rsidP="00A82210">
      <w:pPr>
        <w:pStyle w:val="ListNumber"/>
      </w:pPr>
      <w:r>
        <w:t xml:space="preserve">The second source of data </w:t>
      </w:r>
      <w:r w:rsidR="00D054E1">
        <w:t xml:space="preserve">is </w:t>
      </w:r>
      <w:r w:rsidR="00BB2201" w:rsidRPr="00BB2201">
        <w:t xml:space="preserve">Lower Quartile (LQ) average </w:t>
      </w:r>
      <w:r w:rsidR="00D054E1">
        <w:t>earnings. This</w:t>
      </w:r>
      <w:r w:rsidR="00BB2201" w:rsidRPr="00BB2201">
        <w:t xml:space="preserve"> is helpful for understanding affordability challenges among those with lower than average </w:t>
      </w:r>
      <w:r w:rsidR="00D054E1">
        <w:t>earnings. However</w:t>
      </w:r>
      <w:r>
        <w:t xml:space="preserve">, </w:t>
      </w:r>
      <w:r w:rsidR="00D054E1">
        <w:t>this data relates to individual earnings and whilst this is an accurate representation of household incomes where households have one earner, it does not represent household income where there are two people earning. It is also</w:t>
      </w:r>
      <w:r>
        <w:t xml:space="preserve"> only available at the </w:t>
      </w:r>
      <w:r w:rsidR="009D645B">
        <w:t>County</w:t>
      </w:r>
      <w:r>
        <w:t xml:space="preserve"> level.</w:t>
      </w:r>
    </w:p>
    <w:p w14:paraId="3625A9D0" w14:textId="3B785962" w:rsidR="00BB2201" w:rsidRPr="00BB2201" w:rsidRDefault="00BB2201" w:rsidP="00A82210">
      <w:pPr>
        <w:pStyle w:val="ListNumber"/>
      </w:pPr>
      <w:r w:rsidRPr="00BB2201">
        <w:t>It is derived from ONS annual estimates of paid hours worked and earnings for UK employees to local authority level. Although 201</w:t>
      </w:r>
      <w:r w:rsidR="00974888">
        <w:t>9</w:t>
      </w:r>
      <w:r w:rsidRPr="00BB2201">
        <w:t xml:space="preserve"> provisional data has been published, the revised 201</w:t>
      </w:r>
      <w:r w:rsidR="00974888">
        <w:t>8</w:t>
      </w:r>
      <w:r w:rsidRPr="00BB2201">
        <w:t xml:space="preserve"> data is considered more robust and is therefore used here.</w:t>
      </w:r>
    </w:p>
    <w:p w14:paraId="5DF0738B" w14:textId="07E7EA06" w:rsidR="00BB2201" w:rsidRPr="00BB2201" w:rsidRDefault="009D645B" w:rsidP="00BB2201">
      <w:pPr>
        <w:numPr>
          <w:ilvl w:val="0"/>
          <w:numId w:val="15"/>
        </w:numPr>
        <w:spacing w:before="0" w:after="120"/>
        <w:jc w:val="both"/>
        <w:rPr>
          <w:sz w:val="18"/>
          <w:szCs w:val="18"/>
          <w:lang w:val="en-US"/>
        </w:rPr>
      </w:pPr>
      <w:r>
        <w:rPr>
          <w:sz w:val="18"/>
          <w:szCs w:val="18"/>
          <w:lang w:val="en-US"/>
        </w:rPr>
        <w:t>Dorset</w:t>
      </w:r>
      <w:r w:rsidR="00DF2BD9">
        <w:rPr>
          <w:sz w:val="18"/>
          <w:szCs w:val="18"/>
          <w:lang w:val="en-US"/>
        </w:rPr>
        <w:t xml:space="preserve">’s </w:t>
      </w:r>
      <w:r w:rsidR="00BB2201" w:rsidRPr="00BB2201">
        <w:rPr>
          <w:sz w:val="18"/>
          <w:szCs w:val="18"/>
          <w:lang w:val="en-US"/>
        </w:rPr>
        <w:t xml:space="preserve">gross LQ weekly </w:t>
      </w:r>
      <w:r w:rsidR="00D054E1">
        <w:rPr>
          <w:sz w:val="18"/>
          <w:szCs w:val="18"/>
          <w:lang w:val="en-US"/>
        </w:rPr>
        <w:t>earnings</w:t>
      </w:r>
      <w:r w:rsidR="00D054E1" w:rsidRPr="00BB2201">
        <w:rPr>
          <w:sz w:val="18"/>
          <w:szCs w:val="18"/>
          <w:lang w:val="en-US"/>
        </w:rPr>
        <w:t xml:space="preserve"> </w:t>
      </w:r>
      <w:r w:rsidR="00BB2201" w:rsidRPr="00BB2201">
        <w:rPr>
          <w:sz w:val="18"/>
          <w:szCs w:val="18"/>
          <w:lang w:val="en-US"/>
        </w:rPr>
        <w:t>for 201</w:t>
      </w:r>
      <w:r>
        <w:rPr>
          <w:sz w:val="18"/>
          <w:szCs w:val="18"/>
          <w:lang w:val="en-US"/>
        </w:rPr>
        <w:t>8</w:t>
      </w:r>
      <w:r w:rsidR="00BB2201" w:rsidRPr="00BB2201">
        <w:rPr>
          <w:sz w:val="18"/>
          <w:szCs w:val="18"/>
          <w:lang w:val="en-US"/>
        </w:rPr>
        <w:t xml:space="preserve"> was </w:t>
      </w:r>
      <w:r>
        <w:rPr>
          <w:sz w:val="18"/>
          <w:szCs w:val="18"/>
          <w:lang w:val="en-US"/>
        </w:rPr>
        <w:t>£283.56</w:t>
      </w:r>
      <w:r w:rsidR="00BB2201" w:rsidRPr="00BB2201">
        <w:rPr>
          <w:sz w:val="18"/>
          <w:szCs w:val="18"/>
          <w:lang w:val="en-US"/>
        </w:rPr>
        <w:t xml:space="preserve">, or approximately </w:t>
      </w:r>
      <w:r>
        <w:rPr>
          <w:sz w:val="18"/>
          <w:szCs w:val="18"/>
          <w:lang w:val="en-US"/>
        </w:rPr>
        <w:t>£</w:t>
      </w:r>
      <w:r w:rsidRPr="009D645B">
        <w:rPr>
          <w:sz w:val="18"/>
          <w:szCs w:val="18"/>
          <w:lang w:val="en-US"/>
        </w:rPr>
        <w:t>14</w:t>
      </w:r>
      <w:r>
        <w:rPr>
          <w:sz w:val="18"/>
          <w:szCs w:val="18"/>
          <w:lang w:val="en-US"/>
        </w:rPr>
        <w:t>,</w:t>
      </w:r>
      <w:r w:rsidRPr="009D645B">
        <w:rPr>
          <w:sz w:val="18"/>
          <w:szCs w:val="18"/>
          <w:lang w:val="en-US"/>
        </w:rPr>
        <w:t>745</w:t>
      </w:r>
      <w:r w:rsidR="00BB2201" w:rsidRPr="00BB2201">
        <w:rPr>
          <w:sz w:val="18"/>
          <w:szCs w:val="18"/>
          <w:lang w:val="en-US"/>
        </w:rPr>
        <w:t xml:space="preserve"> per year.</w:t>
      </w:r>
      <w:r w:rsidR="006257CB">
        <w:rPr>
          <w:rStyle w:val="FootnoteReference"/>
          <w:sz w:val="18"/>
          <w:szCs w:val="18"/>
          <w:lang w:val="en-US"/>
        </w:rPr>
        <w:footnoteReference w:id="26"/>
      </w:r>
      <w:r w:rsidR="00BB2201" w:rsidRPr="00BB2201">
        <w:rPr>
          <w:sz w:val="18"/>
          <w:szCs w:val="18"/>
          <w:lang w:val="en-US"/>
        </w:rPr>
        <w:t xml:space="preserve"> </w:t>
      </w:r>
      <w:r w:rsidR="001E1A68" w:rsidRPr="001E1A68">
        <w:rPr>
          <w:sz w:val="18"/>
          <w:szCs w:val="18"/>
          <w:lang w:val="en-US"/>
        </w:rPr>
        <w:t xml:space="preserve">This is the LQ income before taxes (or benefits) for individual earners and so only correlates with the measure of household incomes above for single-person households. To estimate the income of LQ-earning households with two earners, the annual income is doubled, to </w:t>
      </w:r>
      <w:r>
        <w:rPr>
          <w:sz w:val="18"/>
          <w:szCs w:val="18"/>
          <w:lang w:val="en-US"/>
        </w:rPr>
        <w:t>£29,490.</w:t>
      </w:r>
    </w:p>
    <w:p w14:paraId="4E4CBCA7" w14:textId="2012959D" w:rsidR="002C2D5C" w:rsidRDefault="002C2D5C" w:rsidP="00DF2BD9">
      <w:pPr>
        <w:pStyle w:val="Heading3"/>
      </w:pPr>
      <w:bookmarkStart w:id="102" w:name="_Toc2690276"/>
      <w:bookmarkStart w:id="103" w:name="_Toc64026801"/>
      <w:r>
        <w:t>Affordability Thresholds</w:t>
      </w:r>
      <w:bookmarkEnd w:id="102"/>
      <w:bookmarkEnd w:id="103"/>
    </w:p>
    <w:p w14:paraId="70EE2F47" w14:textId="2EAD5EAB" w:rsidR="002C2D5C" w:rsidRPr="009627D4" w:rsidRDefault="002C2D5C" w:rsidP="00A82210">
      <w:pPr>
        <w:pStyle w:val="ListNumber"/>
      </w:pPr>
      <w:r w:rsidRPr="009627D4">
        <w:t xml:space="preserve">In order to gain a </w:t>
      </w:r>
      <w:r w:rsidR="009627D4" w:rsidRPr="009627D4">
        <w:t>clearer</w:t>
      </w:r>
      <w:r w:rsidRPr="009627D4">
        <w:t xml:space="preserve"> understanding of </w:t>
      </w:r>
      <w:r w:rsidR="009627D4" w:rsidRPr="009627D4">
        <w:t xml:space="preserve">local </w:t>
      </w:r>
      <w:r w:rsidRPr="009627D4">
        <w:t xml:space="preserve">affordability, it is also useful to understand what levels of income are required to afford different tenures. This </w:t>
      </w:r>
      <w:r w:rsidR="009627D4">
        <w:t xml:space="preserve">is </w:t>
      </w:r>
      <w:r w:rsidRPr="009627D4">
        <w:t xml:space="preserve">done using ‘affordability thresholds’. </w:t>
      </w:r>
      <w:r w:rsidR="009627D4">
        <w:t xml:space="preserve">Purchase </w:t>
      </w:r>
      <w:r w:rsidR="00FB7F8A">
        <w:t>t</w:t>
      </w:r>
      <w:r w:rsidR="009627D4">
        <w:t xml:space="preserve">hresholds </w:t>
      </w:r>
      <w:r w:rsidR="009627D4" w:rsidRPr="009627D4">
        <w:t>denote the stand</w:t>
      </w:r>
      <w:r w:rsidR="009627D4">
        <w:t>ard household income needed</w:t>
      </w:r>
      <w:r w:rsidR="009627D4" w:rsidRPr="009627D4">
        <w:t xml:space="preserve"> to access mortgage products</w:t>
      </w:r>
      <w:r w:rsidR="009627D4">
        <w:t xml:space="preserve">, and </w:t>
      </w:r>
      <w:r w:rsidR="00FB7F8A">
        <w:t>i</w:t>
      </w:r>
      <w:r w:rsidR="009627D4">
        <w:t xml:space="preserve">ncome </w:t>
      </w:r>
      <w:r w:rsidR="00FB7F8A">
        <w:t>t</w:t>
      </w:r>
      <w:r w:rsidR="009627D4">
        <w:t xml:space="preserve">hresholds </w:t>
      </w:r>
      <w:r w:rsidR="009627D4" w:rsidRPr="009627D4">
        <w:t>denote the maximum share of a family’s income that should be spent on accommodation costs.</w:t>
      </w:r>
      <w:r w:rsidR="00CF27BE">
        <w:t xml:space="preserve"> </w:t>
      </w:r>
    </w:p>
    <w:p w14:paraId="3EA952AF" w14:textId="5D05E7A0" w:rsidR="00F06D67" w:rsidRDefault="00921551" w:rsidP="00A82210">
      <w:pPr>
        <w:pStyle w:val="ListNumber"/>
      </w:pPr>
      <w:r>
        <w:t>AECOM has</w:t>
      </w:r>
      <w:r w:rsidR="009627D4">
        <w:t xml:space="preserve"> determined</w:t>
      </w:r>
      <w:r w:rsidR="002C2D5C" w:rsidRPr="009627D4">
        <w:t xml:space="preserve"> thresholds for </w:t>
      </w:r>
      <w:r w:rsidR="00B51E88">
        <w:t xml:space="preserve">the income required to buy a home in the open market (average and </w:t>
      </w:r>
      <w:r w:rsidR="00FB7F8A">
        <w:t>entry-level</w:t>
      </w:r>
      <w:r w:rsidR="00B51E88">
        <w:t xml:space="preserve"> prices), and the income required to afford</w:t>
      </w:r>
      <w:r w:rsidR="00FB7F8A">
        <w:t xml:space="preserve"> private rent</w:t>
      </w:r>
      <w:r>
        <w:t xml:space="preserve"> and the range of Affordable Housing tenures as set out in NPPF</w:t>
      </w:r>
      <w:r w:rsidR="00B51E88">
        <w:t xml:space="preserve">. </w:t>
      </w:r>
      <w:r w:rsidRPr="00921551">
        <w:t xml:space="preserve"> </w:t>
      </w:r>
      <w:r w:rsidR="002C2D5C" w:rsidRPr="009627D4">
        <w:t xml:space="preserve">These calculations are </w:t>
      </w:r>
      <w:r w:rsidR="002C2D5C" w:rsidRPr="00766401">
        <w:t xml:space="preserve">detailed in </w:t>
      </w:r>
      <w:r w:rsidR="002C2D5C" w:rsidRPr="00766401">
        <w:fldChar w:fldCharType="begin"/>
      </w:r>
      <w:r w:rsidR="002C2D5C" w:rsidRPr="00766401">
        <w:instrText xml:space="preserve"> REF _Ref4490843 \r \h  \* MERGEFORMAT </w:instrText>
      </w:r>
      <w:r w:rsidR="002C2D5C" w:rsidRPr="00766401">
        <w:fldChar w:fldCharType="separate"/>
      </w:r>
      <w:r w:rsidR="00E14AFB">
        <w:t>Appendix B</w:t>
      </w:r>
      <w:r w:rsidR="002C2D5C" w:rsidRPr="00766401">
        <w:fldChar w:fldCharType="end"/>
      </w:r>
      <w:r w:rsidR="002C2D5C" w:rsidRPr="00766401">
        <w:t>. The key assumptions made in assessing the affordability of different tenures are explained alongside the calculations</w:t>
      </w:r>
      <w:r w:rsidR="00FB7F8A">
        <w:t xml:space="preserve">, but </w:t>
      </w:r>
      <w:r>
        <w:t xml:space="preserve">it </w:t>
      </w:r>
      <w:r w:rsidR="00FB7F8A">
        <w:t xml:space="preserve">is worth noting here that we have assumed that the maximum percentage of household income that should be spent on rent is </w:t>
      </w:r>
      <w:r w:rsidR="00C51B5F">
        <w:t>30%</w:t>
      </w:r>
      <w:r w:rsidR="00FB7F8A">
        <w:t xml:space="preserve"> and that mortgage financing will be offered at a maximum of 3.5 times household income</w:t>
      </w:r>
      <w:r w:rsidR="002C2D5C" w:rsidRPr="00766401">
        <w:t>.</w:t>
      </w:r>
    </w:p>
    <w:p w14:paraId="7C98A41C" w14:textId="1CFE0EE9" w:rsidR="002C2D5C" w:rsidRPr="009627D4" w:rsidRDefault="002C2D5C" w:rsidP="00A82210">
      <w:pPr>
        <w:pStyle w:val="ListNumber"/>
      </w:pPr>
      <w:r w:rsidRPr="00766401">
        <w:fldChar w:fldCharType="begin"/>
      </w:r>
      <w:r w:rsidRPr="00766401">
        <w:instrText xml:space="preserve"> REF _Ref534191054 \h  \* MERGEFORMAT </w:instrText>
      </w:r>
      <w:r w:rsidRPr="00766401">
        <w:fldChar w:fldCharType="separate"/>
      </w:r>
      <w:r w:rsidR="00E14AFB" w:rsidRPr="002D4F56">
        <w:t xml:space="preserve">Table </w:t>
      </w:r>
      <w:r w:rsidR="00440D87">
        <w:rPr>
          <w:noProof/>
        </w:rPr>
        <w:t>4</w:t>
      </w:r>
      <w:r w:rsidR="00E14AFB" w:rsidRPr="002D4F56">
        <w:rPr>
          <w:noProof/>
        </w:rPr>
        <w:noBreakHyphen/>
      </w:r>
      <w:r w:rsidR="00E14AFB">
        <w:rPr>
          <w:noProof/>
        </w:rPr>
        <w:t>4</w:t>
      </w:r>
      <w:r w:rsidRPr="00766401">
        <w:fldChar w:fldCharType="end"/>
      </w:r>
      <w:r w:rsidRPr="00766401">
        <w:t xml:space="preserve"> shows the cost of different tenures and the </w:t>
      </w:r>
      <w:r w:rsidR="0040775E">
        <w:t xml:space="preserve">annual </w:t>
      </w:r>
      <w:r w:rsidRPr="00766401">
        <w:t>income required to support these costs withi</w:t>
      </w:r>
      <w:r w:rsidRPr="009627D4">
        <w:t xml:space="preserve">n </w:t>
      </w:r>
      <w:r w:rsidR="0015105E">
        <w:t>Weymouth</w:t>
      </w:r>
      <w:r w:rsidRPr="009627D4">
        <w:t xml:space="preserve">. </w:t>
      </w:r>
      <w:bookmarkStart w:id="104" w:name="_Hlk20150436"/>
      <w:r w:rsidR="00FB7F8A" w:rsidRPr="00FB7F8A">
        <w:t xml:space="preserve">The </w:t>
      </w:r>
      <w:r w:rsidR="00BD6014">
        <w:t>‘</w:t>
      </w:r>
      <w:r w:rsidR="00FB7F8A" w:rsidRPr="00FB7F8A">
        <w:t>income required</w:t>
      </w:r>
      <w:r w:rsidR="00BD6014">
        <w:t>’</w:t>
      </w:r>
      <w:r w:rsidR="00FB7F8A" w:rsidRPr="00FB7F8A">
        <w:t xml:space="preserve"> column is the annual income needed to support ongoing housing costs, but does not reflect the cost of a deposit (which we have assumed to be 10% of the value to be purchased)</w:t>
      </w:r>
      <w:r w:rsidR="0040775E">
        <w:t xml:space="preserve"> or the possibility that households able to access market housing for purchase may already hold equity from an existing property</w:t>
      </w:r>
      <w:r w:rsidR="00FB7F8A">
        <w:t>.</w:t>
      </w:r>
      <w:bookmarkEnd w:id="104"/>
    </w:p>
    <w:p w14:paraId="06DCC6FA" w14:textId="3B390015" w:rsidR="002C2D5C" w:rsidRDefault="002C2D5C" w:rsidP="002C2D5C">
      <w:pPr>
        <w:pStyle w:val="Caption"/>
        <w:jc w:val="both"/>
        <w:rPr>
          <w:b w:val="0"/>
          <w:bCs w:val="0"/>
          <w:color w:val="auto"/>
          <w:sz w:val="18"/>
          <w:szCs w:val="18"/>
        </w:rPr>
      </w:pPr>
      <w:bookmarkStart w:id="105" w:name="_Ref534191054"/>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4</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603781">
        <w:rPr>
          <w:noProof/>
          <w:sz w:val="18"/>
          <w:szCs w:val="18"/>
        </w:rPr>
        <w:t>4</w:t>
      </w:r>
      <w:r w:rsidR="00BA4C32">
        <w:rPr>
          <w:sz w:val="18"/>
          <w:szCs w:val="18"/>
        </w:rPr>
        <w:fldChar w:fldCharType="end"/>
      </w:r>
      <w:bookmarkEnd w:id="105"/>
      <w:r w:rsidRPr="002D4F56">
        <w:rPr>
          <w:sz w:val="18"/>
          <w:szCs w:val="18"/>
        </w:rPr>
        <w:t>: Affordability thresholds</w:t>
      </w:r>
      <w:r w:rsidR="002D4F56">
        <w:rPr>
          <w:sz w:val="18"/>
          <w:szCs w:val="18"/>
        </w:rPr>
        <w:t xml:space="preserve"> in </w:t>
      </w:r>
      <w:r w:rsidR="0015105E">
        <w:rPr>
          <w:sz w:val="18"/>
          <w:szCs w:val="18"/>
        </w:rPr>
        <w:t>Weymouth</w:t>
      </w:r>
      <w:r w:rsidRPr="002D4F56">
        <w:rPr>
          <w:sz w:val="18"/>
          <w:szCs w:val="18"/>
        </w:rPr>
        <w:t xml:space="preserve"> (income required, £)</w:t>
      </w:r>
      <w:r w:rsidR="007357AE">
        <w:rPr>
          <w:sz w:val="18"/>
          <w:szCs w:val="18"/>
        </w:rPr>
        <w:t xml:space="preserve"> </w:t>
      </w:r>
    </w:p>
    <w:tbl>
      <w:tblPr>
        <w:tblW w:w="10627" w:type="dxa"/>
        <w:tblLook w:val="04A0" w:firstRow="1" w:lastRow="0" w:firstColumn="1" w:lastColumn="0" w:noHBand="0" w:noVBand="1"/>
      </w:tblPr>
      <w:tblGrid>
        <w:gridCol w:w="2972"/>
        <w:gridCol w:w="1559"/>
        <w:gridCol w:w="1418"/>
        <w:gridCol w:w="1276"/>
        <w:gridCol w:w="1134"/>
        <w:gridCol w:w="1134"/>
        <w:gridCol w:w="1134"/>
      </w:tblGrid>
      <w:tr w:rsidR="009B5F2F" w:rsidRPr="009B5F2F" w14:paraId="73C68FEA" w14:textId="77777777" w:rsidTr="009D645B">
        <w:trPr>
          <w:trHeight w:val="780"/>
        </w:trPr>
        <w:tc>
          <w:tcPr>
            <w:tcW w:w="29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B270BE"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Tenure</w:t>
            </w:r>
          </w:p>
        </w:tc>
        <w:tc>
          <w:tcPr>
            <w:tcW w:w="1559" w:type="dxa"/>
            <w:tcBorders>
              <w:top w:val="single" w:sz="4" w:space="0" w:color="auto"/>
              <w:left w:val="nil"/>
              <w:bottom w:val="nil"/>
              <w:right w:val="single" w:sz="4" w:space="0" w:color="auto"/>
            </w:tcBorders>
            <w:shd w:val="clear" w:color="000000" w:fill="FFFFFF"/>
            <w:vAlign w:val="center"/>
            <w:hideMark/>
          </w:tcPr>
          <w:p w14:paraId="359BD8FA" w14:textId="63C6D6ED"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Mort</w:t>
            </w:r>
            <w:r w:rsidR="000C64A4">
              <w:rPr>
                <w:rFonts w:asciiTheme="minorHAnsi" w:hAnsiTheme="minorHAnsi" w:cstheme="minorHAnsi"/>
                <w:b/>
                <w:bCs/>
                <w:sz w:val="18"/>
                <w:szCs w:val="18"/>
              </w:rPr>
              <w:t>g</w:t>
            </w:r>
            <w:r w:rsidRPr="009B5F2F">
              <w:rPr>
                <w:rFonts w:asciiTheme="minorHAnsi" w:hAnsiTheme="minorHAnsi" w:cstheme="minorHAnsi"/>
                <w:b/>
                <w:bCs/>
                <w:sz w:val="18"/>
                <w:szCs w:val="18"/>
              </w:rPr>
              <w:t>age Value</w:t>
            </w:r>
          </w:p>
        </w:tc>
        <w:tc>
          <w:tcPr>
            <w:tcW w:w="1418" w:type="dxa"/>
            <w:tcBorders>
              <w:top w:val="single" w:sz="4" w:space="0" w:color="auto"/>
              <w:left w:val="nil"/>
              <w:bottom w:val="nil"/>
              <w:right w:val="single" w:sz="4" w:space="0" w:color="auto"/>
            </w:tcBorders>
            <w:shd w:val="clear" w:color="000000" w:fill="FFFFFF"/>
            <w:vAlign w:val="center"/>
            <w:hideMark/>
          </w:tcPr>
          <w:p w14:paraId="36DFD241"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Rent</w:t>
            </w:r>
          </w:p>
        </w:tc>
        <w:tc>
          <w:tcPr>
            <w:tcW w:w="1276" w:type="dxa"/>
            <w:tcBorders>
              <w:top w:val="single" w:sz="4" w:space="0" w:color="auto"/>
              <w:left w:val="nil"/>
              <w:bottom w:val="nil"/>
              <w:right w:val="single" w:sz="4" w:space="0" w:color="auto"/>
            </w:tcBorders>
            <w:shd w:val="clear" w:color="000000" w:fill="FFFFFF"/>
            <w:vAlign w:val="center"/>
            <w:hideMark/>
          </w:tcPr>
          <w:p w14:paraId="4391D384"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Income required</w:t>
            </w:r>
          </w:p>
        </w:tc>
        <w:tc>
          <w:tcPr>
            <w:tcW w:w="1134" w:type="dxa"/>
            <w:tcBorders>
              <w:top w:val="single" w:sz="4" w:space="0" w:color="auto"/>
              <w:left w:val="nil"/>
              <w:bottom w:val="nil"/>
              <w:right w:val="single" w:sz="4" w:space="0" w:color="auto"/>
            </w:tcBorders>
            <w:shd w:val="clear" w:color="000000" w:fill="FFFFFF"/>
            <w:vAlign w:val="center"/>
            <w:hideMark/>
          </w:tcPr>
          <w:p w14:paraId="4C6C48DE"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Affordable on mean incomes?</w:t>
            </w:r>
          </w:p>
        </w:tc>
        <w:tc>
          <w:tcPr>
            <w:tcW w:w="1134" w:type="dxa"/>
            <w:tcBorders>
              <w:top w:val="single" w:sz="4" w:space="0" w:color="auto"/>
              <w:left w:val="nil"/>
              <w:bottom w:val="nil"/>
              <w:right w:val="single" w:sz="4" w:space="0" w:color="auto"/>
            </w:tcBorders>
            <w:shd w:val="clear" w:color="000000" w:fill="FFFFFF"/>
            <w:vAlign w:val="center"/>
            <w:hideMark/>
          </w:tcPr>
          <w:p w14:paraId="71344549"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Affordable on LQ 1 incomes?</w:t>
            </w:r>
          </w:p>
        </w:tc>
        <w:tc>
          <w:tcPr>
            <w:tcW w:w="1134" w:type="dxa"/>
            <w:tcBorders>
              <w:top w:val="single" w:sz="4" w:space="0" w:color="auto"/>
              <w:left w:val="nil"/>
              <w:bottom w:val="nil"/>
              <w:right w:val="single" w:sz="4" w:space="0" w:color="auto"/>
            </w:tcBorders>
            <w:shd w:val="clear" w:color="000000" w:fill="FFFFFF"/>
            <w:vAlign w:val="center"/>
            <w:hideMark/>
          </w:tcPr>
          <w:p w14:paraId="7D52FD26"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Affordable on LQ 2 incomes?</w:t>
            </w:r>
          </w:p>
        </w:tc>
      </w:tr>
      <w:tr w:rsidR="009B5F2F" w:rsidRPr="009B5F2F" w14:paraId="22E0638E" w14:textId="77777777" w:rsidTr="009D645B">
        <w:trPr>
          <w:trHeight w:val="30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238C009E" w14:textId="77777777" w:rsidR="009B5F2F" w:rsidRPr="009B5F2F" w:rsidRDefault="009B5F2F" w:rsidP="009B5F2F">
            <w:pPr>
              <w:spacing w:before="0" w:after="0" w:line="240" w:lineRule="auto"/>
              <w:rPr>
                <w:rFonts w:asciiTheme="minorHAnsi" w:hAnsiTheme="minorHAnsi" w:cstheme="minorHAnsi"/>
                <w:b/>
                <w:bCs/>
                <w:sz w:val="18"/>
                <w:szCs w:val="18"/>
              </w:rPr>
            </w:pPr>
          </w:p>
        </w:tc>
        <w:tc>
          <w:tcPr>
            <w:tcW w:w="1559" w:type="dxa"/>
            <w:tcBorders>
              <w:top w:val="nil"/>
              <w:left w:val="nil"/>
              <w:bottom w:val="single" w:sz="4" w:space="0" w:color="auto"/>
              <w:right w:val="single" w:sz="4" w:space="0" w:color="auto"/>
            </w:tcBorders>
            <w:shd w:val="clear" w:color="000000" w:fill="FFFFFF"/>
            <w:vAlign w:val="center"/>
            <w:hideMark/>
          </w:tcPr>
          <w:p w14:paraId="4D006392"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FFFFFF"/>
            <w:vAlign w:val="center"/>
            <w:hideMark/>
          </w:tcPr>
          <w:p w14:paraId="22F8BE65"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276" w:type="dxa"/>
            <w:tcBorders>
              <w:top w:val="nil"/>
              <w:left w:val="nil"/>
              <w:bottom w:val="single" w:sz="4" w:space="0" w:color="auto"/>
              <w:right w:val="single" w:sz="4" w:space="0" w:color="auto"/>
            </w:tcBorders>
            <w:shd w:val="clear" w:color="000000" w:fill="FFFFFF"/>
            <w:vAlign w:val="center"/>
            <w:hideMark/>
          </w:tcPr>
          <w:p w14:paraId="3BACE0D0"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14:paraId="72396746"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14:paraId="1F3BCEDC"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14:paraId="547B8D16"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 </w:t>
            </w:r>
          </w:p>
        </w:tc>
      </w:tr>
      <w:tr w:rsidR="009B5F2F" w:rsidRPr="009B5F2F" w14:paraId="75B48503" w14:textId="77777777" w:rsidTr="009D645B">
        <w:trPr>
          <w:trHeight w:val="360"/>
        </w:trPr>
        <w:tc>
          <w:tcPr>
            <w:tcW w:w="2972" w:type="dxa"/>
            <w:tcBorders>
              <w:top w:val="nil"/>
              <w:left w:val="single" w:sz="4" w:space="0" w:color="auto"/>
              <w:bottom w:val="nil"/>
              <w:right w:val="nil"/>
            </w:tcBorders>
            <w:shd w:val="clear" w:color="000000" w:fill="F2F2F2"/>
            <w:vAlign w:val="center"/>
            <w:hideMark/>
          </w:tcPr>
          <w:p w14:paraId="1557FAE8"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Market Housing</w:t>
            </w:r>
          </w:p>
        </w:tc>
        <w:tc>
          <w:tcPr>
            <w:tcW w:w="1559" w:type="dxa"/>
            <w:tcBorders>
              <w:top w:val="nil"/>
              <w:left w:val="nil"/>
              <w:bottom w:val="single" w:sz="4" w:space="0" w:color="auto"/>
              <w:right w:val="nil"/>
            </w:tcBorders>
            <w:shd w:val="clear" w:color="000000" w:fill="F2F2F2"/>
            <w:vAlign w:val="center"/>
            <w:hideMark/>
          </w:tcPr>
          <w:p w14:paraId="6B415239"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418" w:type="dxa"/>
            <w:tcBorders>
              <w:top w:val="nil"/>
              <w:left w:val="nil"/>
              <w:bottom w:val="single" w:sz="4" w:space="0" w:color="auto"/>
              <w:right w:val="nil"/>
            </w:tcBorders>
            <w:shd w:val="clear" w:color="000000" w:fill="F2F2F2"/>
            <w:vAlign w:val="center"/>
            <w:hideMark/>
          </w:tcPr>
          <w:p w14:paraId="43FC3A89"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276" w:type="dxa"/>
            <w:tcBorders>
              <w:top w:val="nil"/>
              <w:left w:val="nil"/>
              <w:bottom w:val="single" w:sz="4" w:space="0" w:color="auto"/>
              <w:right w:val="nil"/>
            </w:tcBorders>
            <w:shd w:val="clear" w:color="000000" w:fill="F2F2F2"/>
            <w:vAlign w:val="center"/>
            <w:hideMark/>
          </w:tcPr>
          <w:p w14:paraId="3E5E6DEA"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nil"/>
            </w:tcBorders>
            <w:shd w:val="clear" w:color="000000" w:fill="F2F2F2"/>
            <w:vAlign w:val="center"/>
            <w:hideMark/>
          </w:tcPr>
          <w:p w14:paraId="47AB832C"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nil"/>
            </w:tcBorders>
            <w:shd w:val="clear" w:color="000000" w:fill="F2F2F2"/>
            <w:vAlign w:val="center"/>
            <w:hideMark/>
          </w:tcPr>
          <w:p w14:paraId="19D40EAC"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single" w:sz="4" w:space="0" w:color="auto"/>
            </w:tcBorders>
            <w:shd w:val="clear" w:color="000000" w:fill="F2F2F2"/>
            <w:vAlign w:val="center"/>
            <w:hideMark/>
          </w:tcPr>
          <w:p w14:paraId="77438E3C"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r>
      <w:tr w:rsidR="009B5F2F" w:rsidRPr="009B5F2F" w14:paraId="030CBE17"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FAF9D"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Median House Price</w:t>
            </w:r>
          </w:p>
        </w:tc>
        <w:tc>
          <w:tcPr>
            <w:tcW w:w="1559" w:type="dxa"/>
            <w:tcBorders>
              <w:top w:val="nil"/>
              <w:left w:val="nil"/>
              <w:bottom w:val="single" w:sz="4" w:space="0" w:color="auto"/>
              <w:right w:val="single" w:sz="4" w:space="0" w:color="auto"/>
            </w:tcBorders>
            <w:shd w:val="clear" w:color="000000" w:fill="FFFFFF"/>
            <w:vAlign w:val="center"/>
            <w:hideMark/>
          </w:tcPr>
          <w:p w14:paraId="56E0E6B0"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£211,500</w:t>
            </w:r>
          </w:p>
        </w:tc>
        <w:tc>
          <w:tcPr>
            <w:tcW w:w="1418" w:type="dxa"/>
            <w:tcBorders>
              <w:top w:val="nil"/>
              <w:left w:val="nil"/>
              <w:bottom w:val="single" w:sz="4" w:space="0" w:color="auto"/>
              <w:right w:val="single" w:sz="4" w:space="0" w:color="auto"/>
            </w:tcBorders>
            <w:shd w:val="clear" w:color="000000" w:fill="FFFFFF"/>
            <w:vAlign w:val="center"/>
            <w:hideMark/>
          </w:tcPr>
          <w:p w14:paraId="0CFEC0D0"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276" w:type="dxa"/>
            <w:tcBorders>
              <w:top w:val="nil"/>
              <w:left w:val="nil"/>
              <w:bottom w:val="single" w:sz="4" w:space="0" w:color="auto"/>
              <w:right w:val="single" w:sz="4" w:space="0" w:color="auto"/>
            </w:tcBorders>
            <w:shd w:val="clear" w:color="000000" w:fill="FFFFFF"/>
            <w:vAlign w:val="center"/>
            <w:hideMark/>
          </w:tcPr>
          <w:p w14:paraId="24379AFE"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£60,429</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441DB4B"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D8677A1"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AA83BD8"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0294C3EE"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E52C0F" w14:textId="091A98AF"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LA New Build Mean House Price</w:t>
            </w:r>
            <w:r w:rsidR="006257CB">
              <w:rPr>
                <w:rStyle w:val="FootnoteReference"/>
                <w:rFonts w:cstheme="minorHAnsi"/>
                <w:sz w:val="18"/>
                <w:szCs w:val="18"/>
              </w:rPr>
              <w:footnoteReference w:id="27"/>
            </w:r>
          </w:p>
        </w:tc>
        <w:tc>
          <w:tcPr>
            <w:tcW w:w="1559" w:type="dxa"/>
            <w:tcBorders>
              <w:top w:val="nil"/>
              <w:left w:val="nil"/>
              <w:bottom w:val="single" w:sz="4" w:space="0" w:color="auto"/>
              <w:right w:val="single" w:sz="4" w:space="0" w:color="auto"/>
            </w:tcBorders>
            <w:shd w:val="clear" w:color="000000" w:fill="FFFFFF"/>
            <w:noWrap/>
            <w:vAlign w:val="center"/>
            <w:hideMark/>
          </w:tcPr>
          <w:p w14:paraId="64D7FBAA"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£354,413</w:t>
            </w:r>
          </w:p>
        </w:tc>
        <w:tc>
          <w:tcPr>
            <w:tcW w:w="1418" w:type="dxa"/>
            <w:tcBorders>
              <w:top w:val="nil"/>
              <w:left w:val="nil"/>
              <w:bottom w:val="single" w:sz="4" w:space="0" w:color="auto"/>
              <w:right w:val="single" w:sz="4" w:space="0" w:color="auto"/>
            </w:tcBorders>
            <w:shd w:val="clear" w:color="000000" w:fill="FFFFFF"/>
            <w:noWrap/>
            <w:vAlign w:val="center"/>
            <w:hideMark/>
          </w:tcPr>
          <w:p w14:paraId="4CDE8CC9"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0CBE7AB"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£101,261</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9834D21"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D32EC2A"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59AE6CA"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41572D39"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D2E32"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LQ/Entry-level House Price</w:t>
            </w:r>
          </w:p>
        </w:tc>
        <w:tc>
          <w:tcPr>
            <w:tcW w:w="1559" w:type="dxa"/>
            <w:tcBorders>
              <w:top w:val="nil"/>
              <w:left w:val="nil"/>
              <w:bottom w:val="single" w:sz="4" w:space="0" w:color="auto"/>
              <w:right w:val="single" w:sz="4" w:space="0" w:color="auto"/>
            </w:tcBorders>
            <w:shd w:val="clear" w:color="000000" w:fill="FFFFFF"/>
            <w:vAlign w:val="center"/>
            <w:hideMark/>
          </w:tcPr>
          <w:p w14:paraId="0051F881"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£158,963</w:t>
            </w:r>
          </w:p>
        </w:tc>
        <w:tc>
          <w:tcPr>
            <w:tcW w:w="1418" w:type="dxa"/>
            <w:tcBorders>
              <w:top w:val="nil"/>
              <w:left w:val="nil"/>
              <w:bottom w:val="single" w:sz="4" w:space="0" w:color="auto"/>
              <w:right w:val="single" w:sz="4" w:space="0" w:color="auto"/>
            </w:tcBorders>
            <w:shd w:val="clear" w:color="000000" w:fill="FFFFFF"/>
            <w:vAlign w:val="center"/>
            <w:hideMark/>
          </w:tcPr>
          <w:p w14:paraId="63B72A27"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276" w:type="dxa"/>
            <w:tcBorders>
              <w:top w:val="nil"/>
              <w:left w:val="nil"/>
              <w:bottom w:val="single" w:sz="4" w:space="0" w:color="auto"/>
              <w:right w:val="single" w:sz="4" w:space="0" w:color="auto"/>
            </w:tcBorders>
            <w:shd w:val="clear" w:color="000000" w:fill="FFFFFF"/>
            <w:vAlign w:val="center"/>
            <w:hideMark/>
          </w:tcPr>
          <w:p w14:paraId="04D90A57"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£45,418</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56E6A40"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7EEC708"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E565713"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6B1B64A8"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EBBD3"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Average Market Rent</w:t>
            </w:r>
          </w:p>
        </w:tc>
        <w:tc>
          <w:tcPr>
            <w:tcW w:w="1559" w:type="dxa"/>
            <w:tcBorders>
              <w:top w:val="nil"/>
              <w:left w:val="nil"/>
              <w:bottom w:val="single" w:sz="4" w:space="0" w:color="auto"/>
              <w:right w:val="single" w:sz="4" w:space="0" w:color="auto"/>
            </w:tcBorders>
            <w:shd w:val="clear" w:color="000000" w:fill="FFFFFF"/>
            <w:vAlign w:val="center"/>
            <w:hideMark/>
          </w:tcPr>
          <w:p w14:paraId="5B285881"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14:paraId="35D83850"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£11,313</w:t>
            </w:r>
          </w:p>
        </w:tc>
        <w:tc>
          <w:tcPr>
            <w:tcW w:w="1276" w:type="dxa"/>
            <w:tcBorders>
              <w:top w:val="nil"/>
              <w:left w:val="nil"/>
              <w:bottom w:val="single" w:sz="4" w:space="0" w:color="auto"/>
              <w:right w:val="single" w:sz="4" w:space="0" w:color="auto"/>
            </w:tcBorders>
            <w:shd w:val="clear" w:color="000000" w:fill="FFFFFF"/>
            <w:vAlign w:val="center"/>
            <w:hideMark/>
          </w:tcPr>
          <w:p w14:paraId="42F51AAC"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£37,709</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00D0882"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Yes</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F0C3CC5"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384075E"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02EA15CA"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17420"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Entry-level Market Rent</w:t>
            </w:r>
          </w:p>
        </w:tc>
        <w:tc>
          <w:tcPr>
            <w:tcW w:w="1559" w:type="dxa"/>
            <w:tcBorders>
              <w:top w:val="nil"/>
              <w:left w:val="nil"/>
              <w:bottom w:val="single" w:sz="4" w:space="0" w:color="auto"/>
              <w:right w:val="single" w:sz="4" w:space="0" w:color="auto"/>
            </w:tcBorders>
            <w:shd w:val="clear" w:color="000000" w:fill="FFFFFF"/>
            <w:vAlign w:val="center"/>
            <w:hideMark/>
          </w:tcPr>
          <w:p w14:paraId="0E00A31B"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14:paraId="497DEE1E"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£10,178</w:t>
            </w:r>
          </w:p>
        </w:tc>
        <w:tc>
          <w:tcPr>
            <w:tcW w:w="1276" w:type="dxa"/>
            <w:tcBorders>
              <w:top w:val="nil"/>
              <w:left w:val="nil"/>
              <w:bottom w:val="single" w:sz="4" w:space="0" w:color="auto"/>
              <w:right w:val="single" w:sz="4" w:space="0" w:color="auto"/>
            </w:tcBorders>
            <w:shd w:val="clear" w:color="000000" w:fill="FFFFFF"/>
            <w:vAlign w:val="center"/>
            <w:hideMark/>
          </w:tcPr>
          <w:p w14:paraId="7F24CE49"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£33,925</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20ABB1C"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Yes</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0B8ECED"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1660C13"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267AF731" w14:textId="77777777" w:rsidTr="009D645B">
        <w:trPr>
          <w:trHeight w:val="360"/>
        </w:trPr>
        <w:tc>
          <w:tcPr>
            <w:tcW w:w="2972" w:type="dxa"/>
            <w:tcBorders>
              <w:top w:val="nil"/>
              <w:left w:val="single" w:sz="4" w:space="0" w:color="auto"/>
              <w:bottom w:val="nil"/>
              <w:right w:val="nil"/>
            </w:tcBorders>
            <w:shd w:val="clear" w:color="000000" w:fill="F2F2F2"/>
            <w:noWrap/>
            <w:vAlign w:val="center"/>
            <w:hideMark/>
          </w:tcPr>
          <w:p w14:paraId="69529489"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Affordable Home Ownership</w:t>
            </w:r>
          </w:p>
        </w:tc>
        <w:tc>
          <w:tcPr>
            <w:tcW w:w="1559" w:type="dxa"/>
            <w:tcBorders>
              <w:top w:val="nil"/>
              <w:left w:val="nil"/>
              <w:bottom w:val="single" w:sz="4" w:space="0" w:color="auto"/>
              <w:right w:val="nil"/>
            </w:tcBorders>
            <w:shd w:val="clear" w:color="000000" w:fill="F2F2F2"/>
            <w:noWrap/>
            <w:vAlign w:val="center"/>
            <w:hideMark/>
          </w:tcPr>
          <w:p w14:paraId="201947C8"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418" w:type="dxa"/>
            <w:tcBorders>
              <w:top w:val="nil"/>
              <w:left w:val="nil"/>
              <w:bottom w:val="single" w:sz="4" w:space="0" w:color="auto"/>
              <w:right w:val="nil"/>
            </w:tcBorders>
            <w:shd w:val="clear" w:color="000000" w:fill="F2F2F2"/>
            <w:noWrap/>
            <w:vAlign w:val="center"/>
            <w:hideMark/>
          </w:tcPr>
          <w:p w14:paraId="04E37F61"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276" w:type="dxa"/>
            <w:tcBorders>
              <w:top w:val="nil"/>
              <w:left w:val="nil"/>
              <w:bottom w:val="single" w:sz="4" w:space="0" w:color="auto"/>
              <w:right w:val="nil"/>
            </w:tcBorders>
            <w:shd w:val="clear" w:color="000000" w:fill="F2F2F2"/>
            <w:noWrap/>
            <w:vAlign w:val="center"/>
            <w:hideMark/>
          </w:tcPr>
          <w:p w14:paraId="269A56CD"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nil"/>
            </w:tcBorders>
            <w:shd w:val="clear" w:color="000000" w:fill="F2F2F2"/>
            <w:noWrap/>
            <w:vAlign w:val="center"/>
            <w:hideMark/>
          </w:tcPr>
          <w:p w14:paraId="0A00B08C"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nil"/>
            </w:tcBorders>
            <w:shd w:val="clear" w:color="000000" w:fill="F2F2F2"/>
            <w:noWrap/>
            <w:vAlign w:val="center"/>
            <w:hideMark/>
          </w:tcPr>
          <w:p w14:paraId="57819591"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14:paraId="2153CA0C"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r>
      <w:tr w:rsidR="009B5F2F" w:rsidRPr="009B5F2F" w14:paraId="5CB13064"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9DB8E"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Discounted Market Sale (-20%)</w:t>
            </w:r>
          </w:p>
        </w:tc>
        <w:tc>
          <w:tcPr>
            <w:tcW w:w="1559" w:type="dxa"/>
            <w:tcBorders>
              <w:top w:val="nil"/>
              <w:left w:val="nil"/>
              <w:bottom w:val="single" w:sz="4" w:space="0" w:color="auto"/>
              <w:right w:val="single" w:sz="4" w:space="0" w:color="auto"/>
            </w:tcBorders>
            <w:shd w:val="clear" w:color="000000" w:fill="FFFFFF"/>
            <w:vAlign w:val="center"/>
            <w:hideMark/>
          </w:tcPr>
          <w:p w14:paraId="3618BEBD"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£188,000</w:t>
            </w:r>
          </w:p>
        </w:tc>
        <w:tc>
          <w:tcPr>
            <w:tcW w:w="1418" w:type="dxa"/>
            <w:tcBorders>
              <w:top w:val="nil"/>
              <w:left w:val="nil"/>
              <w:bottom w:val="single" w:sz="4" w:space="0" w:color="auto"/>
              <w:right w:val="single" w:sz="4" w:space="0" w:color="auto"/>
            </w:tcBorders>
            <w:shd w:val="clear" w:color="000000" w:fill="FFFFFF"/>
            <w:vAlign w:val="center"/>
            <w:hideMark/>
          </w:tcPr>
          <w:p w14:paraId="6E5A1E91"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276" w:type="dxa"/>
            <w:tcBorders>
              <w:top w:val="nil"/>
              <w:left w:val="nil"/>
              <w:bottom w:val="single" w:sz="4" w:space="0" w:color="auto"/>
              <w:right w:val="single" w:sz="4" w:space="0" w:color="auto"/>
            </w:tcBorders>
            <w:shd w:val="clear" w:color="000000" w:fill="FFFFFF"/>
            <w:vAlign w:val="center"/>
            <w:hideMark/>
          </w:tcPr>
          <w:p w14:paraId="12538C93"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£48,343</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A44AC76"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798E22B"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F29410C"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7782777B"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A4DAA"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Discounted Market Sale (-30%)</w:t>
            </w:r>
          </w:p>
        </w:tc>
        <w:tc>
          <w:tcPr>
            <w:tcW w:w="1559" w:type="dxa"/>
            <w:tcBorders>
              <w:top w:val="nil"/>
              <w:left w:val="nil"/>
              <w:bottom w:val="single" w:sz="4" w:space="0" w:color="auto"/>
              <w:right w:val="single" w:sz="4" w:space="0" w:color="auto"/>
            </w:tcBorders>
            <w:shd w:val="clear" w:color="000000" w:fill="FFFFFF"/>
            <w:vAlign w:val="center"/>
            <w:hideMark/>
          </w:tcPr>
          <w:p w14:paraId="7EA2245B"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£164,500</w:t>
            </w:r>
          </w:p>
        </w:tc>
        <w:tc>
          <w:tcPr>
            <w:tcW w:w="1418" w:type="dxa"/>
            <w:tcBorders>
              <w:top w:val="nil"/>
              <w:left w:val="nil"/>
              <w:bottom w:val="single" w:sz="4" w:space="0" w:color="auto"/>
              <w:right w:val="single" w:sz="4" w:space="0" w:color="auto"/>
            </w:tcBorders>
            <w:shd w:val="clear" w:color="000000" w:fill="FFFFFF"/>
            <w:vAlign w:val="center"/>
            <w:hideMark/>
          </w:tcPr>
          <w:p w14:paraId="2D59C0B4"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276" w:type="dxa"/>
            <w:tcBorders>
              <w:top w:val="nil"/>
              <w:left w:val="nil"/>
              <w:bottom w:val="single" w:sz="4" w:space="0" w:color="auto"/>
              <w:right w:val="single" w:sz="4" w:space="0" w:color="auto"/>
            </w:tcBorders>
            <w:shd w:val="clear" w:color="000000" w:fill="FFFFFF"/>
            <w:vAlign w:val="center"/>
            <w:hideMark/>
          </w:tcPr>
          <w:p w14:paraId="674286CA"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£42,300</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E39E592"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E290B5A"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7A5322B"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57193054"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E9E0C"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Discounted Market Sale (-40%)</w:t>
            </w:r>
          </w:p>
        </w:tc>
        <w:tc>
          <w:tcPr>
            <w:tcW w:w="1559" w:type="dxa"/>
            <w:tcBorders>
              <w:top w:val="nil"/>
              <w:left w:val="nil"/>
              <w:bottom w:val="single" w:sz="4" w:space="0" w:color="auto"/>
              <w:right w:val="single" w:sz="4" w:space="0" w:color="auto"/>
            </w:tcBorders>
            <w:shd w:val="clear" w:color="000000" w:fill="FFFFFF"/>
            <w:vAlign w:val="center"/>
            <w:hideMark/>
          </w:tcPr>
          <w:p w14:paraId="0E720FA6"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£141,000</w:t>
            </w:r>
          </w:p>
        </w:tc>
        <w:tc>
          <w:tcPr>
            <w:tcW w:w="1418" w:type="dxa"/>
            <w:tcBorders>
              <w:top w:val="nil"/>
              <w:left w:val="nil"/>
              <w:bottom w:val="single" w:sz="4" w:space="0" w:color="auto"/>
              <w:right w:val="single" w:sz="4" w:space="0" w:color="auto"/>
            </w:tcBorders>
            <w:shd w:val="clear" w:color="000000" w:fill="FFFFFF"/>
            <w:vAlign w:val="center"/>
            <w:hideMark/>
          </w:tcPr>
          <w:p w14:paraId="48CF0C40"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276" w:type="dxa"/>
            <w:tcBorders>
              <w:top w:val="nil"/>
              <w:left w:val="nil"/>
              <w:bottom w:val="single" w:sz="4" w:space="0" w:color="auto"/>
              <w:right w:val="single" w:sz="4" w:space="0" w:color="auto"/>
            </w:tcBorders>
            <w:shd w:val="clear" w:color="000000" w:fill="FFFFFF"/>
            <w:vAlign w:val="center"/>
            <w:hideMark/>
          </w:tcPr>
          <w:p w14:paraId="4A15CEE3"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£36,257</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1AEB9EC"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Yes</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71F7C4E"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DF0B9EB"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7963A253"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FFD0C"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Discounted Market Sale (-50%)</w:t>
            </w:r>
          </w:p>
        </w:tc>
        <w:tc>
          <w:tcPr>
            <w:tcW w:w="1559" w:type="dxa"/>
            <w:tcBorders>
              <w:top w:val="nil"/>
              <w:left w:val="nil"/>
              <w:bottom w:val="single" w:sz="4" w:space="0" w:color="auto"/>
              <w:right w:val="single" w:sz="4" w:space="0" w:color="auto"/>
            </w:tcBorders>
            <w:shd w:val="clear" w:color="000000" w:fill="FFFFFF"/>
            <w:vAlign w:val="center"/>
            <w:hideMark/>
          </w:tcPr>
          <w:p w14:paraId="097BC334"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£117,500</w:t>
            </w:r>
          </w:p>
        </w:tc>
        <w:tc>
          <w:tcPr>
            <w:tcW w:w="1418" w:type="dxa"/>
            <w:tcBorders>
              <w:top w:val="nil"/>
              <w:left w:val="nil"/>
              <w:bottom w:val="single" w:sz="4" w:space="0" w:color="auto"/>
              <w:right w:val="single" w:sz="4" w:space="0" w:color="auto"/>
            </w:tcBorders>
            <w:shd w:val="clear" w:color="000000" w:fill="FFFFFF"/>
            <w:vAlign w:val="center"/>
            <w:hideMark/>
          </w:tcPr>
          <w:p w14:paraId="6BFC4F85"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276" w:type="dxa"/>
            <w:tcBorders>
              <w:top w:val="nil"/>
              <w:left w:val="nil"/>
              <w:bottom w:val="single" w:sz="4" w:space="0" w:color="auto"/>
              <w:right w:val="single" w:sz="4" w:space="0" w:color="auto"/>
            </w:tcBorders>
            <w:shd w:val="clear" w:color="000000" w:fill="FFFFFF"/>
            <w:vAlign w:val="center"/>
            <w:hideMark/>
          </w:tcPr>
          <w:p w14:paraId="498392E8"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£30,214</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7A7B635"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Yes</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805E69F"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56D33A8"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5E0F0EE8"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73260"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Shared Ownership (50%)</w:t>
            </w:r>
          </w:p>
        </w:tc>
        <w:tc>
          <w:tcPr>
            <w:tcW w:w="1559" w:type="dxa"/>
            <w:tcBorders>
              <w:top w:val="nil"/>
              <w:left w:val="nil"/>
              <w:bottom w:val="single" w:sz="4" w:space="0" w:color="auto"/>
              <w:right w:val="single" w:sz="4" w:space="0" w:color="auto"/>
            </w:tcBorders>
            <w:shd w:val="clear" w:color="000000" w:fill="FFFFFF"/>
            <w:vAlign w:val="center"/>
            <w:hideMark/>
          </w:tcPr>
          <w:p w14:paraId="72348030"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£117,500</w:t>
            </w:r>
          </w:p>
        </w:tc>
        <w:tc>
          <w:tcPr>
            <w:tcW w:w="1418" w:type="dxa"/>
            <w:tcBorders>
              <w:top w:val="nil"/>
              <w:left w:val="nil"/>
              <w:bottom w:val="single" w:sz="4" w:space="0" w:color="auto"/>
              <w:right w:val="single" w:sz="4" w:space="0" w:color="auto"/>
            </w:tcBorders>
            <w:shd w:val="clear" w:color="000000" w:fill="FFFFFF"/>
            <w:vAlign w:val="center"/>
            <w:hideMark/>
          </w:tcPr>
          <w:p w14:paraId="6326A041"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£2,938</w:t>
            </w:r>
          </w:p>
        </w:tc>
        <w:tc>
          <w:tcPr>
            <w:tcW w:w="1276" w:type="dxa"/>
            <w:tcBorders>
              <w:top w:val="nil"/>
              <w:left w:val="nil"/>
              <w:bottom w:val="single" w:sz="4" w:space="0" w:color="auto"/>
              <w:right w:val="single" w:sz="4" w:space="0" w:color="auto"/>
            </w:tcBorders>
            <w:shd w:val="clear" w:color="000000" w:fill="FFFFFF"/>
            <w:vAlign w:val="center"/>
            <w:hideMark/>
          </w:tcPr>
          <w:p w14:paraId="5BDED054"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£40,006</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DEB03E1"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C008EA8"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C6D7430"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4AE9BD11"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BC056"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Shared Ownership (25%)</w:t>
            </w:r>
          </w:p>
        </w:tc>
        <w:tc>
          <w:tcPr>
            <w:tcW w:w="1559" w:type="dxa"/>
            <w:tcBorders>
              <w:top w:val="nil"/>
              <w:left w:val="nil"/>
              <w:bottom w:val="single" w:sz="4" w:space="0" w:color="auto"/>
              <w:right w:val="single" w:sz="4" w:space="0" w:color="auto"/>
            </w:tcBorders>
            <w:shd w:val="clear" w:color="000000" w:fill="FFFFFF"/>
            <w:vAlign w:val="center"/>
            <w:hideMark/>
          </w:tcPr>
          <w:p w14:paraId="77CE65DA"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£52,875</w:t>
            </w:r>
          </w:p>
        </w:tc>
        <w:tc>
          <w:tcPr>
            <w:tcW w:w="1418" w:type="dxa"/>
            <w:tcBorders>
              <w:top w:val="nil"/>
              <w:left w:val="nil"/>
              <w:bottom w:val="single" w:sz="4" w:space="0" w:color="auto"/>
              <w:right w:val="single" w:sz="4" w:space="0" w:color="auto"/>
            </w:tcBorders>
            <w:shd w:val="clear" w:color="000000" w:fill="FFFFFF"/>
            <w:vAlign w:val="center"/>
            <w:hideMark/>
          </w:tcPr>
          <w:p w14:paraId="44264865"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£4,406</w:t>
            </w:r>
          </w:p>
        </w:tc>
        <w:tc>
          <w:tcPr>
            <w:tcW w:w="1276" w:type="dxa"/>
            <w:tcBorders>
              <w:top w:val="nil"/>
              <w:left w:val="nil"/>
              <w:bottom w:val="single" w:sz="4" w:space="0" w:color="auto"/>
              <w:right w:val="single" w:sz="4" w:space="0" w:color="auto"/>
            </w:tcBorders>
            <w:shd w:val="clear" w:color="000000" w:fill="FFFFFF"/>
            <w:vAlign w:val="center"/>
            <w:hideMark/>
          </w:tcPr>
          <w:p w14:paraId="0BB42057"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£29,795</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8494E53"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Yes</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F4E79C7"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0A2A6E8"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r>
      <w:tr w:rsidR="009B5F2F" w:rsidRPr="009B5F2F" w14:paraId="7E45B2E1" w14:textId="77777777" w:rsidTr="009D645B">
        <w:trPr>
          <w:trHeight w:val="360"/>
        </w:trPr>
        <w:tc>
          <w:tcPr>
            <w:tcW w:w="2972" w:type="dxa"/>
            <w:tcBorders>
              <w:top w:val="nil"/>
              <w:left w:val="single" w:sz="4" w:space="0" w:color="auto"/>
              <w:bottom w:val="nil"/>
              <w:right w:val="nil"/>
            </w:tcBorders>
            <w:shd w:val="clear" w:color="000000" w:fill="F2F2F2"/>
            <w:noWrap/>
            <w:vAlign w:val="center"/>
            <w:hideMark/>
          </w:tcPr>
          <w:p w14:paraId="04070427"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Affordable Rented Housing</w:t>
            </w:r>
          </w:p>
        </w:tc>
        <w:tc>
          <w:tcPr>
            <w:tcW w:w="1559" w:type="dxa"/>
            <w:tcBorders>
              <w:top w:val="nil"/>
              <w:left w:val="nil"/>
              <w:bottom w:val="single" w:sz="4" w:space="0" w:color="auto"/>
              <w:right w:val="nil"/>
            </w:tcBorders>
            <w:shd w:val="clear" w:color="000000" w:fill="F2F2F2"/>
            <w:noWrap/>
            <w:vAlign w:val="center"/>
            <w:hideMark/>
          </w:tcPr>
          <w:p w14:paraId="1C3710E1"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418" w:type="dxa"/>
            <w:tcBorders>
              <w:top w:val="nil"/>
              <w:left w:val="nil"/>
              <w:bottom w:val="single" w:sz="4" w:space="0" w:color="auto"/>
              <w:right w:val="nil"/>
            </w:tcBorders>
            <w:shd w:val="clear" w:color="000000" w:fill="F2F2F2"/>
            <w:noWrap/>
            <w:vAlign w:val="center"/>
            <w:hideMark/>
          </w:tcPr>
          <w:p w14:paraId="078F50DF"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276" w:type="dxa"/>
            <w:tcBorders>
              <w:top w:val="nil"/>
              <w:left w:val="nil"/>
              <w:bottom w:val="single" w:sz="4" w:space="0" w:color="auto"/>
              <w:right w:val="nil"/>
            </w:tcBorders>
            <w:shd w:val="clear" w:color="000000" w:fill="F2F2F2"/>
            <w:noWrap/>
            <w:vAlign w:val="center"/>
            <w:hideMark/>
          </w:tcPr>
          <w:p w14:paraId="201E3948"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nil"/>
            </w:tcBorders>
            <w:shd w:val="clear" w:color="000000" w:fill="F2F2F2"/>
            <w:noWrap/>
            <w:vAlign w:val="center"/>
            <w:hideMark/>
          </w:tcPr>
          <w:p w14:paraId="42883076"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nil"/>
            </w:tcBorders>
            <w:shd w:val="clear" w:color="000000" w:fill="F2F2F2"/>
            <w:noWrap/>
            <w:vAlign w:val="center"/>
            <w:hideMark/>
          </w:tcPr>
          <w:p w14:paraId="7DB7E645"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c>
          <w:tcPr>
            <w:tcW w:w="1134" w:type="dxa"/>
            <w:tcBorders>
              <w:top w:val="nil"/>
              <w:left w:val="nil"/>
              <w:bottom w:val="single" w:sz="4" w:space="0" w:color="auto"/>
              <w:right w:val="single" w:sz="4" w:space="0" w:color="auto"/>
            </w:tcBorders>
            <w:shd w:val="clear" w:color="000000" w:fill="F2F2F2"/>
            <w:noWrap/>
            <w:vAlign w:val="center"/>
            <w:hideMark/>
          </w:tcPr>
          <w:p w14:paraId="1309E93E" w14:textId="77777777" w:rsidR="009B5F2F" w:rsidRPr="009B5F2F" w:rsidRDefault="009B5F2F" w:rsidP="009B5F2F">
            <w:pPr>
              <w:spacing w:before="0" w:after="0" w:line="240" w:lineRule="auto"/>
              <w:rPr>
                <w:rFonts w:asciiTheme="minorHAnsi" w:hAnsiTheme="minorHAnsi" w:cstheme="minorHAnsi"/>
                <w:b/>
                <w:bCs/>
                <w:sz w:val="18"/>
                <w:szCs w:val="18"/>
              </w:rPr>
            </w:pPr>
            <w:r w:rsidRPr="009B5F2F">
              <w:rPr>
                <w:rFonts w:asciiTheme="minorHAnsi" w:hAnsiTheme="minorHAnsi" w:cstheme="minorHAnsi"/>
                <w:b/>
                <w:bCs/>
                <w:sz w:val="18"/>
                <w:szCs w:val="18"/>
              </w:rPr>
              <w:t> </w:t>
            </w:r>
          </w:p>
        </w:tc>
      </w:tr>
      <w:tr w:rsidR="009B5F2F" w:rsidRPr="009B5F2F" w14:paraId="677614DF"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C6D41"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Affordable Rent</w:t>
            </w:r>
          </w:p>
        </w:tc>
        <w:tc>
          <w:tcPr>
            <w:tcW w:w="1559" w:type="dxa"/>
            <w:tcBorders>
              <w:top w:val="nil"/>
              <w:left w:val="nil"/>
              <w:bottom w:val="single" w:sz="4" w:space="0" w:color="auto"/>
              <w:right w:val="single" w:sz="4" w:space="0" w:color="auto"/>
            </w:tcBorders>
            <w:shd w:val="clear" w:color="000000" w:fill="FFFFFF"/>
            <w:vAlign w:val="center"/>
            <w:hideMark/>
          </w:tcPr>
          <w:p w14:paraId="532838D8"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14:paraId="49199554"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£6,419</w:t>
            </w:r>
          </w:p>
        </w:tc>
        <w:tc>
          <w:tcPr>
            <w:tcW w:w="1276" w:type="dxa"/>
            <w:tcBorders>
              <w:top w:val="nil"/>
              <w:left w:val="nil"/>
              <w:bottom w:val="single" w:sz="4" w:space="0" w:color="auto"/>
              <w:right w:val="single" w:sz="4" w:space="0" w:color="auto"/>
            </w:tcBorders>
            <w:shd w:val="clear" w:color="000000" w:fill="FFFFFF"/>
            <w:vAlign w:val="center"/>
            <w:hideMark/>
          </w:tcPr>
          <w:p w14:paraId="75828FB4"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£25,678</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2CCFE494"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Yes</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E80C2BB"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6CBB45EA"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Yes</w:t>
            </w:r>
          </w:p>
        </w:tc>
      </w:tr>
      <w:tr w:rsidR="009B5F2F" w:rsidRPr="009B5F2F" w14:paraId="63B8272F" w14:textId="77777777" w:rsidTr="009D645B">
        <w:trPr>
          <w:trHeight w:val="36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B9A63" w14:textId="77777777" w:rsidR="009B5F2F" w:rsidRPr="009B5F2F" w:rsidRDefault="009B5F2F" w:rsidP="009B5F2F">
            <w:pPr>
              <w:spacing w:before="0" w:after="0" w:line="240" w:lineRule="auto"/>
              <w:rPr>
                <w:rFonts w:asciiTheme="minorHAnsi" w:hAnsiTheme="minorHAnsi" w:cstheme="minorHAnsi"/>
                <w:sz w:val="18"/>
                <w:szCs w:val="18"/>
              </w:rPr>
            </w:pPr>
            <w:r w:rsidRPr="009B5F2F">
              <w:rPr>
                <w:rFonts w:asciiTheme="minorHAnsi" w:hAnsiTheme="minorHAnsi" w:cstheme="minorHAnsi"/>
                <w:sz w:val="18"/>
                <w:szCs w:val="18"/>
              </w:rPr>
              <w:t>Social Rent</w:t>
            </w:r>
          </w:p>
        </w:tc>
        <w:tc>
          <w:tcPr>
            <w:tcW w:w="1559" w:type="dxa"/>
            <w:tcBorders>
              <w:top w:val="nil"/>
              <w:left w:val="nil"/>
              <w:bottom w:val="single" w:sz="4" w:space="0" w:color="auto"/>
              <w:right w:val="single" w:sz="4" w:space="0" w:color="auto"/>
            </w:tcBorders>
            <w:shd w:val="clear" w:color="000000" w:fill="FFFFFF"/>
            <w:vAlign w:val="center"/>
            <w:hideMark/>
          </w:tcPr>
          <w:p w14:paraId="302E869B"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w:t>
            </w:r>
          </w:p>
        </w:tc>
        <w:tc>
          <w:tcPr>
            <w:tcW w:w="1418" w:type="dxa"/>
            <w:tcBorders>
              <w:top w:val="nil"/>
              <w:left w:val="nil"/>
              <w:bottom w:val="single" w:sz="4" w:space="0" w:color="auto"/>
              <w:right w:val="single" w:sz="4" w:space="0" w:color="auto"/>
            </w:tcBorders>
            <w:shd w:val="clear" w:color="000000" w:fill="FFFFFF"/>
            <w:vAlign w:val="center"/>
            <w:hideMark/>
          </w:tcPr>
          <w:p w14:paraId="03EEBC75"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£4,986</w:t>
            </w:r>
          </w:p>
        </w:tc>
        <w:tc>
          <w:tcPr>
            <w:tcW w:w="1276" w:type="dxa"/>
            <w:tcBorders>
              <w:top w:val="nil"/>
              <w:left w:val="nil"/>
              <w:bottom w:val="single" w:sz="4" w:space="0" w:color="auto"/>
              <w:right w:val="single" w:sz="4" w:space="0" w:color="auto"/>
            </w:tcBorders>
            <w:shd w:val="clear" w:color="000000" w:fill="FFFFFF"/>
            <w:vAlign w:val="center"/>
            <w:hideMark/>
          </w:tcPr>
          <w:p w14:paraId="78C0874D" w14:textId="77777777" w:rsidR="009B5F2F" w:rsidRPr="009B5F2F" w:rsidRDefault="009B5F2F" w:rsidP="009B5F2F">
            <w:pPr>
              <w:spacing w:before="0" w:after="0" w:line="240" w:lineRule="auto"/>
              <w:jc w:val="center"/>
              <w:rPr>
                <w:rFonts w:asciiTheme="minorHAnsi" w:hAnsiTheme="minorHAnsi" w:cstheme="minorHAnsi"/>
                <w:b/>
                <w:bCs/>
                <w:sz w:val="18"/>
                <w:szCs w:val="18"/>
              </w:rPr>
            </w:pPr>
            <w:r w:rsidRPr="009B5F2F">
              <w:rPr>
                <w:rFonts w:asciiTheme="minorHAnsi" w:hAnsiTheme="minorHAnsi" w:cstheme="minorHAnsi"/>
                <w:b/>
                <w:bCs/>
                <w:sz w:val="18"/>
                <w:szCs w:val="18"/>
              </w:rPr>
              <w:t>£19,943</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D139B06"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Yes</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42EE702"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661098C" w14:textId="77777777" w:rsidR="009B5F2F" w:rsidRPr="009B5F2F" w:rsidRDefault="009B5F2F" w:rsidP="009B5F2F">
            <w:pPr>
              <w:spacing w:before="0" w:after="0" w:line="240" w:lineRule="auto"/>
              <w:jc w:val="center"/>
              <w:rPr>
                <w:rFonts w:asciiTheme="minorHAnsi" w:hAnsiTheme="minorHAnsi" w:cstheme="minorHAnsi"/>
                <w:sz w:val="18"/>
                <w:szCs w:val="18"/>
              </w:rPr>
            </w:pPr>
            <w:r w:rsidRPr="009B5F2F">
              <w:rPr>
                <w:rFonts w:asciiTheme="minorHAnsi" w:hAnsiTheme="minorHAnsi" w:cstheme="minorHAnsi"/>
                <w:sz w:val="18"/>
                <w:szCs w:val="18"/>
              </w:rPr>
              <w:t>Yes</w:t>
            </w:r>
          </w:p>
        </w:tc>
      </w:tr>
    </w:tbl>
    <w:p w14:paraId="494139ED" w14:textId="77777777" w:rsidR="002C2D5C" w:rsidRPr="00374C95" w:rsidRDefault="002C2D5C" w:rsidP="002C2D5C">
      <w:pPr>
        <w:pStyle w:val="Source"/>
        <w:jc w:val="both"/>
        <w:rPr>
          <w:sz w:val="18"/>
          <w:szCs w:val="18"/>
          <w:lang w:val="en-GB"/>
        </w:rPr>
      </w:pPr>
      <w:r w:rsidRPr="00374C95">
        <w:rPr>
          <w:sz w:val="18"/>
          <w:szCs w:val="18"/>
          <w:lang w:val="en-GB"/>
        </w:rPr>
        <w:t>Source: AECOM Calculations</w:t>
      </w:r>
    </w:p>
    <w:p w14:paraId="72B68AA5" w14:textId="022381C0" w:rsidR="00581337" w:rsidRDefault="002C2D5C" w:rsidP="00A82210">
      <w:pPr>
        <w:pStyle w:val="ListNumber"/>
      </w:pPr>
      <w:r w:rsidRPr="00766401">
        <w:t xml:space="preserve">The income required to afford the different tenures is then benchmarked </w:t>
      </w:r>
      <w:r w:rsidR="00BB2201">
        <w:t xml:space="preserve">in </w:t>
      </w:r>
      <w:r w:rsidR="00BD6014">
        <w:t>Table 4-5</w:t>
      </w:r>
      <w:r w:rsidR="00BB2201">
        <w:t xml:space="preserve"> </w:t>
      </w:r>
      <w:r w:rsidRPr="00766401">
        <w:t xml:space="preserve">against </w:t>
      </w:r>
      <w:r w:rsidR="00BB2201">
        <w:t xml:space="preserve">the </w:t>
      </w:r>
      <w:r w:rsidRPr="00766401">
        <w:t>t</w:t>
      </w:r>
      <w:r w:rsidR="00F06D67">
        <w:t>hree</w:t>
      </w:r>
      <w:r w:rsidRPr="00766401">
        <w:t xml:space="preserve"> measurements of household income</w:t>
      </w:r>
      <w:r w:rsidR="00BB2201">
        <w:t xml:space="preserve"> set out above. </w:t>
      </w:r>
      <w:r w:rsidR="00613236" w:rsidRPr="00613236">
        <w:t xml:space="preserve">These are the average </w:t>
      </w:r>
      <w:r w:rsidR="00A46986">
        <w:t>total</w:t>
      </w:r>
      <w:r w:rsidR="00A46986" w:rsidRPr="00613236">
        <w:t xml:space="preserve"> </w:t>
      </w:r>
      <w:r w:rsidR="00613236" w:rsidRPr="00613236">
        <w:t xml:space="preserve">household income </w:t>
      </w:r>
      <w:r w:rsidR="009D645B">
        <w:t>across the seven MSOAs making up the Neighbourhood Area</w:t>
      </w:r>
      <w:r w:rsidR="00613236" w:rsidRPr="00613236">
        <w:t xml:space="preserve"> at </w:t>
      </w:r>
      <w:r w:rsidR="009D645B">
        <w:t>£39,929</w:t>
      </w:r>
      <w:r w:rsidR="00613236" w:rsidRPr="00766401">
        <w:t xml:space="preserve"> </w:t>
      </w:r>
      <w:r w:rsidR="00613236" w:rsidRPr="00613236">
        <w:t xml:space="preserve">and the lower quartile gross </w:t>
      </w:r>
      <w:r w:rsidR="00A46986">
        <w:t xml:space="preserve">earnings </w:t>
      </w:r>
      <w:r w:rsidR="00613236" w:rsidRPr="00613236">
        <w:t>for</w:t>
      </w:r>
      <w:r w:rsidR="009D645B">
        <w:t xml:space="preserve"> Dorset</w:t>
      </w:r>
      <w:r w:rsidR="00613236" w:rsidRPr="00613236">
        <w:t xml:space="preserve"> </w:t>
      </w:r>
      <w:r w:rsidR="0099461D">
        <w:t xml:space="preserve">County </w:t>
      </w:r>
      <w:r w:rsidR="006D7E3B">
        <w:t xml:space="preserve">for single-earners </w:t>
      </w:r>
      <w:r w:rsidR="00613236" w:rsidRPr="00613236">
        <w:t xml:space="preserve">at </w:t>
      </w:r>
      <w:r w:rsidR="009D645B">
        <w:t>£14,745</w:t>
      </w:r>
      <w:r w:rsidR="006D7E3B">
        <w:t xml:space="preserve"> and dual-earning households at</w:t>
      </w:r>
      <w:r w:rsidR="009D645B">
        <w:t xml:space="preserve"> £29,490.</w:t>
      </w:r>
      <w:r w:rsidR="00613236" w:rsidRPr="00613236">
        <w:t xml:space="preserve"> </w:t>
      </w:r>
    </w:p>
    <w:p w14:paraId="5CF4547C" w14:textId="59A7F553" w:rsidR="00581337" w:rsidRPr="00381436" w:rsidRDefault="00581337" w:rsidP="00A82210">
      <w:pPr>
        <w:pStyle w:val="ListNumber"/>
      </w:pPr>
      <w:r w:rsidRPr="00766401">
        <w:t>Taking into consideration the affordability thresholds set out above, it is apparent that</w:t>
      </w:r>
      <w:r>
        <w:t xml:space="preserve"> the income</w:t>
      </w:r>
      <w:r w:rsidR="009D645B">
        <w:t xml:space="preserve"> of £60,429 </w:t>
      </w:r>
      <w:r>
        <w:t>required to buy an average market home for sale is</w:t>
      </w:r>
      <w:r w:rsidRPr="00766401">
        <w:t xml:space="preserve"> </w:t>
      </w:r>
      <w:r w:rsidR="009D645B">
        <w:t>considerably</w:t>
      </w:r>
      <w:r>
        <w:t xml:space="preserve"> </w:t>
      </w:r>
      <w:r w:rsidR="009D645B">
        <w:t>higher</w:t>
      </w:r>
      <w:r w:rsidR="00947EB5">
        <w:t xml:space="preserve"> </w:t>
      </w:r>
      <w:r>
        <w:t>than what would be expected to be available to those on average househol</w:t>
      </w:r>
      <w:r w:rsidR="00947EB5">
        <w:t>d</w:t>
      </w:r>
      <w:r>
        <w:t xml:space="preserve"> incomes</w:t>
      </w:r>
      <w:r w:rsidR="00947EB5">
        <w:t xml:space="preserve"> in the area</w:t>
      </w:r>
      <w:r>
        <w:t xml:space="preserve">. </w:t>
      </w:r>
      <w:r w:rsidRPr="00766401">
        <w:t>The income required to buy an average entry-level home for sale</w:t>
      </w:r>
      <w:r w:rsidR="00947EB5">
        <w:t xml:space="preserve"> of £45,418</w:t>
      </w:r>
      <w:r w:rsidRPr="00766401">
        <w:t xml:space="preserve"> is </w:t>
      </w:r>
      <w:r w:rsidR="00BD6014">
        <w:t xml:space="preserve">in turn </w:t>
      </w:r>
      <w:r w:rsidR="00947EB5">
        <w:t>considerably higher</w:t>
      </w:r>
      <w:r w:rsidRPr="00766401">
        <w:t xml:space="preserve"> </w:t>
      </w:r>
      <w:r>
        <w:t>than the average income of</w:t>
      </w:r>
      <w:r w:rsidRPr="00766401">
        <w:t xml:space="preserve"> those on </w:t>
      </w:r>
      <w:r>
        <w:t>lower quartile</w:t>
      </w:r>
      <w:r w:rsidRPr="00766401">
        <w:t xml:space="preserve"> household incomes</w:t>
      </w:r>
      <w:r w:rsidR="00947EB5">
        <w:t xml:space="preserve">, and </w:t>
      </w:r>
      <w:r w:rsidR="00BD6014">
        <w:t>also</w:t>
      </w:r>
      <w:r w:rsidR="00947EB5">
        <w:t xml:space="preserve"> higher than the average income in the area</w:t>
      </w:r>
      <w:r w:rsidRPr="00766401">
        <w:t>.</w:t>
      </w:r>
    </w:p>
    <w:p w14:paraId="3D8F06B0" w14:textId="2AC91858" w:rsidR="00581337" w:rsidRPr="00766401" w:rsidRDefault="00581337" w:rsidP="00A82210">
      <w:pPr>
        <w:pStyle w:val="ListNumber"/>
      </w:pPr>
      <w:r>
        <w:t xml:space="preserve">The </w:t>
      </w:r>
      <w:r w:rsidRPr="00947EB5">
        <w:t>inability</w:t>
      </w:r>
      <w:r>
        <w:t xml:space="preserve"> of those on lower quartile earnings to afford</w:t>
      </w:r>
      <w:r w:rsidR="00947EB5">
        <w:t xml:space="preserve"> any of the tenures except affordable or social rent, including</w:t>
      </w:r>
      <w:r>
        <w:t xml:space="preserve"> entry-level market </w:t>
      </w:r>
      <w:r w:rsidR="00947EB5">
        <w:t xml:space="preserve">sale prices or </w:t>
      </w:r>
      <w:r>
        <w:t>rents</w:t>
      </w:r>
      <w:r w:rsidR="00947EB5">
        <w:t xml:space="preserve">, </w:t>
      </w:r>
      <w:r>
        <w:t xml:space="preserve">suggests that </w:t>
      </w:r>
      <w:r w:rsidR="00947EB5">
        <w:t>in Weymouth, housing is too expensive for many local people to afford, without the recourse to benefit or publicly subsid</w:t>
      </w:r>
      <w:r w:rsidR="00BD6014">
        <w:t>ised</w:t>
      </w:r>
      <w:r w:rsidR="00947EB5">
        <w:t xml:space="preserve"> affordable housing. </w:t>
      </w:r>
      <w:r w:rsidR="00C25BB0">
        <w:t>T</w:t>
      </w:r>
      <w:r w:rsidR="00947EB5">
        <w:t>hose on average incomes in Weymouth can</w:t>
      </w:r>
      <w:r w:rsidR="00C25BB0">
        <w:t xml:space="preserve"> also </w:t>
      </w:r>
      <w:r w:rsidR="00947EB5">
        <w:t>not afford to buy their own home, even if this is a smaller entry level property.</w:t>
      </w:r>
    </w:p>
    <w:p w14:paraId="464312C6" w14:textId="4AE80F04" w:rsidR="003339B7" w:rsidRPr="003339B7" w:rsidRDefault="00581337" w:rsidP="00440D87">
      <w:pPr>
        <w:pStyle w:val="ListNumber"/>
      </w:pPr>
      <w:r>
        <w:t xml:space="preserve">Government policy aimed at tackling the housing crisis continues to attach high priority </w:t>
      </w:r>
      <w:r w:rsidR="00C25BB0">
        <w:t>to</w:t>
      </w:r>
      <w:r>
        <w:t xml:space="preserve"> helping those on modest incomes and others who are unable to afford market housing for purchase, such as younger buyers, to access affordable routes towards homeownership</w:t>
      </w:r>
      <w:r>
        <w:rPr>
          <w:rStyle w:val="FootnoteReference"/>
          <w:lang w:val="en-GB"/>
        </w:rPr>
        <w:footnoteReference w:id="28"/>
      </w:r>
      <w:r>
        <w:t xml:space="preserve">. In the case of </w:t>
      </w:r>
      <w:r w:rsidR="0015105E">
        <w:t>Weymouth</w:t>
      </w:r>
      <w:r>
        <w:t xml:space="preserve">, the figure below suggests that the most appropriate tenures to help implement this policy goal locally are </w:t>
      </w:r>
      <w:r w:rsidR="003339B7">
        <w:t xml:space="preserve">either through shared ownership at 25% or through a discount market sale scheme, which would have to offer a discount of </w:t>
      </w:r>
      <w:r w:rsidR="002B5EE5">
        <w:t>35-</w:t>
      </w:r>
      <w:r w:rsidR="003339B7">
        <w:t xml:space="preserve">40%. 20 or 30% discount market sale schemes or 50% shared ownership would still be unaffordable on average incomes in Weymouth (although shared ownership at 50% is only marginally unaffordable, requiring an income of </w:t>
      </w:r>
      <w:r w:rsidR="003339B7" w:rsidRPr="003339B7">
        <w:rPr>
          <w:szCs w:val="16"/>
        </w:rPr>
        <w:t>£</w:t>
      </w:r>
      <w:r w:rsidR="003339B7">
        <w:rPr>
          <w:szCs w:val="16"/>
        </w:rPr>
        <w:t>40,006</w:t>
      </w:r>
      <w:r w:rsidR="003339B7" w:rsidRPr="003339B7">
        <w:rPr>
          <w:szCs w:val="16"/>
        </w:rPr>
        <w:t xml:space="preserve">, while average incomes are </w:t>
      </w:r>
      <w:r w:rsidR="003339B7">
        <w:rPr>
          <w:szCs w:val="16"/>
        </w:rPr>
        <w:t xml:space="preserve">only </w:t>
      </w:r>
      <w:r w:rsidR="003339B7" w:rsidRPr="003339B7">
        <w:rPr>
          <w:szCs w:val="16"/>
        </w:rPr>
        <w:t xml:space="preserve">very slightly slower </w:t>
      </w:r>
      <w:r w:rsidR="003339B7" w:rsidRPr="003339B7">
        <w:t xml:space="preserve">£39,929). </w:t>
      </w:r>
    </w:p>
    <w:p w14:paraId="1AE2570B" w14:textId="3FA7ACA8" w:rsidR="00581337" w:rsidRPr="003339B7" w:rsidRDefault="00581337" w:rsidP="00A82210">
      <w:pPr>
        <w:pStyle w:val="ListNumber"/>
      </w:pPr>
      <w:r w:rsidRPr="003339B7">
        <w:t xml:space="preserve">Table </w:t>
      </w:r>
      <w:r w:rsidR="00440D87">
        <w:t>4</w:t>
      </w:r>
      <w:r w:rsidRPr="003339B7">
        <w:t>-</w:t>
      </w:r>
      <w:r w:rsidR="00440D87">
        <w:t>5</w:t>
      </w:r>
      <w:r w:rsidRPr="003339B7">
        <w:t xml:space="preserve"> shows that households with incomes between </w:t>
      </w:r>
      <w:r w:rsidR="003339B7" w:rsidRPr="003339B7">
        <w:rPr>
          <w:rFonts w:asciiTheme="minorHAnsi" w:hAnsiTheme="minorHAnsi" w:cstheme="minorHAnsi"/>
        </w:rPr>
        <w:t>£33,925</w:t>
      </w:r>
      <w:r w:rsidRPr="003339B7">
        <w:t xml:space="preserve"> and </w:t>
      </w:r>
      <w:r w:rsidR="003339B7" w:rsidRPr="003339B7">
        <w:rPr>
          <w:rFonts w:asciiTheme="minorHAnsi" w:hAnsiTheme="minorHAnsi" w:cstheme="minorHAnsi"/>
        </w:rPr>
        <w:t>£45,418</w:t>
      </w:r>
      <w:r w:rsidRPr="003339B7">
        <w:t xml:space="preserve"> are able to rent in the market but unable to buy. These households may need affordable home ownership options. </w:t>
      </w:r>
      <w:r w:rsidR="003339B7">
        <w:t xml:space="preserve">In the case of Weymouth, this includes everyone at average incomes or below, and even some households on above average earnings. </w:t>
      </w:r>
      <w:r w:rsidRPr="003339B7">
        <w:t>There are a range of affordable routes to home ownership tenures, i.e. those aimed at households unable to afford to buy in the market. With regard to these products and the discounts required, the following observations can be made:</w:t>
      </w:r>
    </w:p>
    <w:p w14:paraId="40D37377" w14:textId="5C5D7A77" w:rsidR="00867955" w:rsidRPr="00867955" w:rsidRDefault="00867955" w:rsidP="0008421F">
      <w:pPr>
        <w:pStyle w:val="ListBullet"/>
      </w:pPr>
      <w:r w:rsidRPr="00867955">
        <w:t xml:space="preserve">The </w:t>
      </w:r>
      <w:r w:rsidR="002B5EE5">
        <w:t xml:space="preserve">minimum </w:t>
      </w:r>
      <w:r w:rsidRPr="00867955">
        <w:t xml:space="preserve">discount on the average market sale price required to enable households on </w:t>
      </w:r>
      <w:r w:rsidR="00581337">
        <w:t>average</w:t>
      </w:r>
      <w:r w:rsidRPr="00867955">
        <w:t xml:space="preserve"> incomes to afford to buy</w:t>
      </w:r>
      <w:r w:rsidR="00C25BB0">
        <w:t xml:space="preserve"> in Weymouth</w:t>
      </w:r>
      <w:r w:rsidRPr="00867955">
        <w:t xml:space="preserve"> is </w:t>
      </w:r>
      <w:r w:rsidR="003339B7">
        <w:t>34</w:t>
      </w:r>
      <w:r w:rsidRPr="00867955">
        <w:t xml:space="preserve">%. </w:t>
      </w:r>
    </w:p>
    <w:p w14:paraId="0B0171CD" w14:textId="2713B87B" w:rsidR="00867955" w:rsidRPr="00867955" w:rsidRDefault="00867955" w:rsidP="0008421F">
      <w:pPr>
        <w:pStyle w:val="ListBullet"/>
      </w:pPr>
      <w:r w:rsidRPr="00867955">
        <w:t xml:space="preserve">Whether discounted market sale is affordable will depend whether properties are priced in relation to average, new build or entry level homes so developers will view discounts differently. New build homes are often more expensive than properties for sale in the second-hand stock. </w:t>
      </w:r>
      <w:r w:rsidR="003339B7">
        <w:t>Please note that as</w:t>
      </w:r>
      <w:r w:rsidR="003339B7" w:rsidRPr="003339B7">
        <w:t xml:space="preserve"> it was not </w:t>
      </w:r>
      <w:r w:rsidRPr="003339B7">
        <w:t>possible to provide robust new build prices at the NA level</w:t>
      </w:r>
      <w:r w:rsidR="003339B7" w:rsidRPr="003339B7">
        <w:t>,</w:t>
      </w:r>
      <w:r w:rsidRPr="003339B7">
        <w:t xml:space="preserve"> LPA prices have been used</w:t>
      </w:r>
      <w:r w:rsidR="003339B7" w:rsidRPr="003339B7">
        <w:t xml:space="preserve"> instead</w:t>
      </w:r>
      <w:r w:rsidRPr="003339B7">
        <w:t>.</w:t>
      </w:r>
      <w:r w:rsidRPr="00867955">
        <w:t xml:space="preserve"> </w:t>
      </w:r>
    </w:p>
    <w:p w14:paraId="51778995" w14:textId="71B8A51E" w:rsidR="00867955" w:rsidRPr="00867955" w:rsidRDefault="00867955" w:rsidP="0008421F">
      <w:pPr>
        <w:pStyle w:val="ListBullet"/>
      </w:pPr>
      <w:r w:rsidRPr="00867955">
        <w:t xml:space="preserve">Discounts on new build or average prices may make homes no more affordable than entry level properties in the existing stock. </w:t>
      </w:r>
      <w:r w:rsidR="003339B7">
        <w:t xml:space="preserve">In Weymouth, a discount of 61% would be required on the LPA level mean new build house price, to be affordable to those on average Weymouth incomes. </w:t>
      </w:r>
    </w:p>
    <w:p w14:paraId="71E5F73C" w14:textId="23D176A9" w:rsidR="00867955" w:rsidRPr="003339B7" w:rsidRDefault="003339B7" w:rsidP="0008421F">
      <w:pPr>
        <w:pStyle w:val="ListBullet"/>
      </w:pPr>
      <w:r w:rsidRPr="003339B7">
        <w:t>The</w:t>
      </w:r>
      <w:r w:rsidR="00867955" w:rsidRPr="003339B7">
        <w:t xml:space="preserve"> products </w:t>
      </w:r>
      <w:r w:rsidRPr="003339B7">
        <w:t xml:space="preserve">which </w:t>
      </w:r>
      <w:r w:rsidR="00867955" w:rsidRPr="003339B7">
        <w:t>would extend homeownership to the widest group</w:t>
      </w:r>
      <w:r w:rsidRPr="003339B7">
        <w:t xml:space="preserve"> in Weymouth would be shared ownership at 25% or through a discount market sale scheme, which would have to offer a minimum discount of 34%</w:t>
      </w:r>
      <w:r w:rsidR="00867955" w:rsidRPr="003339B7">
        <w:t>.</w:t>
      </w:r>
    </w:p>
    <w:p w14:paraId="38BE4DB0" w14:textId="7FBB49FB" w:rsidR="00581337" w:rsidRDefault="00867955" w:rsidP="0008421F">
      <w:pPr>
        <w:pStyle w:val="ListBullet"/>
      </w:pPr>
      <w:r w:rsidRPr="00867955">
        <w:t xml:space="preserve">Discounted market sale homes may be unviable to develop if the discounted price is close to (or below) build costs. </w:t>
      </w:r>
      <w:r w:rsidR="001E78CC">
        <w:t xml:space="preserve">Build costs vary across the country but </w:t>
      </w:r>
      <w:r w:rsidR="00CD6AD4">
        <w:t xml:space="preserve">as an illustration, the </w:t>
      </w:r>
      <w:r w:rsidRPr="00867955">
        <w:t>build cost for a 2</w:t>
      </w:r>
      <w:r w:rsidR="002B5EE5">
        <w:t>-</w:t>
      </w:r>
      <w:r w:rsidRPr="00867955">
        <w:t>bedroom home</w:t>
      </w:r>
      <w:r w:rsidR="00CD6AD4">
        <w:t xml:space="preserve"> (assuming 70 sq m and a build cost of £1,500 per sq m) would be around £105,000.</w:t>
      </w:r>
      <w:r w:rsidR="00CD6AD4">
        <w:rPr>
          <w:rStyle w:val="FootnoteReference"/>
          <w:rFonts w:eastAsia="Calibri"/>
          <w:szCs w:val="24"/>
        </w:rPr>
        <w:footnoteReference w:id="29"/>
      </w:r>
      <w:r w:rsidR="00CD6AD4">
        <w:t xml:space="preserve"> This cost excludes any land value or developer profit. </w:t>
      </w:r>
      <w:r w:rsidR="002B5EE5">
        <w:t xml:space="preserve">This, in the case of Weymouth, indicates that sufficient discounts </w:t>
      </w:r>
      <w:r w:rsidR="003F1955">
        <w:t>might</w:t>
      </w:r>
      <w:r w:rsidR="002B5EE5">
        <w:t xml:space="preserve"> to be possible to make homes affordable for those on average incomes, however not for those on lower quartile incomes.</w:t>
      </w:r>
    </w:p>
    <w:p w14:paraId="0DCEC53E" w14:textId="2FEE57AC" w:rsidR="00581337" w:rsidRDefault="00581337" w:rsidP="0008421F">
      <w:pPr>
        <w:pStyle w:val="ListBullet"/>
      </w:pPr>
      <w:r w:rsidRPr="00581337">
        <w:t xml:space="preserve">The Government’s proposed First Homes product would provide a minimum discount of 30% on new homes. New build prices are not available at the neighbourhood level because the number of transactions is too low. However, median average prices provide a reasonable proxy for the price of new homes. In </w:t>
      </w:r>
      <w:r w:rsidR="002B5EE5">
        <w:t xml:space="preserve">Weymouth </w:t>
      </w:r>
      <w:r w:rsidRPr="00581337">
        <w:t xml:space="preserve">a 30% discount on average prices </w:t>
      </w:r>
      <w:r w:rsidR="002B5EE5" w:rsidRPr="002B5EE5">
        <w:t>w</w:t>
      </w:r>
      <w:r w:rsidRPr="002B5EE5">
        <w:t xml:space="preserve">ould not </w:t>
      </w:r>
      <w:r w:rsidRPr="00581337">
        <w:t xml:space="preserve">be sufficient to extend home ownership to households on </w:t>
      </w:r>
      <w:r>
        <w:t>average</w:t>
      </w:r>
      <w:r w:rsidRPr="00581337">
        <w:t xml:space="preserve"> incomes. </w:t>
      </w:r>
    </w:p>
    <w:p w14:paraId="772A1FC9" w14:textId="17734D62" w:rsidR="00DA648C" w:rsidRDefault="00867955" w:rsidP="0008421F">
      <w:pPr>
        <w:pStyle w:val="ListBullet"/>
      </w:pPr>
      <w:r w:rsidRPr="00867955">
        <w:t>The income required to access Rent to buy is the same as that required to afford market rents.</w:t>
      </w:r>
      <w:r w:rsidR="002B5EE5">
        <w:t xml:space="preserve"> In Weymouth this would be an income of </w:t>
      </w:r>
      <w:r w:rsidR="003F1955">
        <w:t>£37,609</w:t>
      </w:r>
      <w:r w:rsidR="002B5EE5">
        <w:t>.</w:t>
      </w:r>
      <w:r w:rsidRPr="00867955">
        <w:t xml:space="preserve"> </w:t>
      </w:r>
      <w:r w:rsidR="002B5EE5">
        <w:t xml:space="preserve">Therefore, Rent to Buy is likely to be </w:t>
      </w:r>
      <w:r w:rsidR="003F1955">
        <w:t xml:space="preserve">one of the </w:t>
      </w:r>
      <w:r w:rsidR="002B5EE5">
        <w:t>affordable route</w:t>
      </w:r>
      <w:r w:rsidR="003F1955">
        <w:t>s</w:t>
      </w:r>
      <w:r w:rsidR="002B5EE5">
        <w:t xml:space="preserve"> to home ownership for those on average incomes in Weymouth.</w:t>
      </w:r>
      <w:r w:rsidRPr="00867955">
        <w:t xml:space="preserve"> </w:t>
      </w:r>
      <w:r w:rsidR="003F1955">
        <w:t>Rent to buy would not be affordable to those on lower quartile incomes, even on two incomes and for an entry level home.</w:t>
      </w:r>
    </w:p>
    <w:p w14:paraId="4EA1FE84" w14:textId="15F937A5" w:rsidR="002B5EE5" w:rsidRPr="00E9576A" w:rsidRDefault="002B5EE5" w:rsidP="00C77FCB">
      <w:pPr>
        <w:pStyle w:val="ListBullet"/>
      </w:pPr>
      <w:r w:rsidRPr="0008421F">
        <w:t xml:space="preserve">Neighbourhood Plans and Neighbourhood groups have little control or influence over discounts achieved on market sale properties, but the LPA has a role in this. The LPA already recognises the need for Affordable Housing for rent as well as for sale, </w:t>
      </w:r>
      <w:r w:rsidR="0008421F" w:rsidRPr="0008421F">
        <w:t xml:space="preserve">as per adopted policy HOUS1 part iv which requires that </w:t>
      </w:r>
      <w:r w:rsidR="0008421F">
        <w:t>“w</w:t>
      </w:r>
      <w:r w:rsidR="0008421F" w:rsidRPr="0008421F">
        <w:rPr>
          <w:color w:val="auto"/>
        </w:rPr>
        <w:t>ithin any affordable housing provision, the councils will seek the inclusion of a minimum of 70% social / affordable rent and a maximum of 30% intermediate affordable housing, unless identified local needs indicate that alternative provision would be appropriate</w:t>
      </w:r>
      <w:r w:rsidR="0008421F">
        <w:rPr>
          <w:color w:val="auto"/>
        </w:rPr>
        <w:t>”</w:t>
      </w:r>
      <w:r w:rsidR="0008421F" w:rsidRPr="0008421F">
        <w:rPr>
          <w:color w:val="auto"/>
        </w:rPr>
        <w:t>.</w:t>
      </w:r>
      <w:r w:rsidR="0008421F">
        <w:rPr>
          <w:color w:val="auto"/>
        </w:rPr>
        <w:t xml:space="preserve"> The</w:t>
      </w:r>
      <w:r w:rsidR="00C77FCB">
        <w:rPr>
          <w:color w:val="auto"/>
        </w:rPr>
        <w:t xml:space="preserve"> emerging</w:t>
      </w:r>
      <w:r w:rsidR="0008421F">
        <w:rPr>
          <w:color w:val="auto"/>
        </w:rPr>
        <w:t xml:space="preserve"> Local Plan draft policy </w:t>
      </w:r>
      <w:r w:rsidR="0008421F" w:rsidRPr="0008421F">
        <w:rPr>
          <w:color w:val="auto"/>
        </w:rPr>
        <w:t xml:space="preserve">HOUS2 part </w:t>
      </w:r>
      <w:r w:rsidR="00C77FCB">
        <w:rPr>
          <w:color w:val="auto"/>
        </w:rPr>
        <w:t xml:space="preserve">v requires that </w:t>
      </w:r>
      <w:r w:rsidR="0008421F" w:rsidRPr="0008421F">
        <w:t>affordable homes should be provided at</w:t>
      </w:r>
      <w:r w:rsidR="0008421F" w:rsidRPr="0008421F">
        <w:rPr>
          <w:color w:val="09476D"/>
        </w:rPr>
        <w:t xml:space="preserve"> </w:t>
      </w:r>
      <w:r w:rsidR="0008421F" w:rsidRPr="0008421F">
        <w:t>a maximum of 30% (but not less than 10%</w:t>
      </w:r>
      <w:r w:rsidR="003F1955">
        <w:t>)</w:t>
      </w:r>
      <w:r w:rsidR="0008421F" w:rsidRPr="0008421F">
        <w:t xml:space="preserve"> affordable home ownership</w:t>
      </w:r>
      <w:r w:rsidR="0008421F">
        <w:t xml:space="preserve"> </w:t>
      </w:r>
      <w:r w:rsidR="0008421F" w:rsidRPr="0008421F">
        <w:t>products</w:t>
      </w:r>
      <w:r w:rsidR="00C77FCB">
        <w:t>;</w:t>
      </w:r>
      <w:r w:rsidR="0008421F" w:rsidRPr="0008421F">
        <w:rPr>
          <w:color w:val="09476D"/>
        </w:rPr>
        <w:t xml:space="preserve"> </w:t>
      </w:r>
      <w:r w:rsidR="0008421F" w:rsidRPr="0008421F">
        <w:t>a minimum of 30% social rent; and</w:t>
      </w:r>
      <w:r w:rsidR="0008421F">
        <w:t xml:space="preserve"> </w:t>
      </w:r>
      <w:r w:rsidR="0008421F" w:rsidRPr="0008421F">
        <w:t>a minimum of 40% affordable rent.</w:t>
      </w:r>
      <w:r w:rsidR="00DA648C" w:rsidRPr="00DA648C">
        <w:rPr>
          <w:rFonts w:asciiTheme="minorHAnsi" w:hAnsiTheme="minorHAnsi" w:cstheme="minorHAnsi"/>
          <w:color w:val="FF0000"/>
        </w:rPr>
        <w:t xml:space="preserve"> </w:t>
      </w:r>
    </w:p>
    <w:p w14:paraId="04425864" w14:textId="3B6E1EAD" w:rsidR="00E9576A" w:rsidRPr="00E9576A" w:rsidRDefault="00E9576A" w:rsidP="00E9576A">
      <w:pPr>
        <w:pStyle w:val="ListBullet"/>
        <w:rPr>
          <w:rFonts w:asciiTheme="majorHAnsi" w:eastAsiaTheme="majorEastAsia" w:hAnsiTheme="majorHAnsi" w:cstheme="majorBidi"/>
          <w:b/>
          <w:bCs/>
          <w:color w:val="00B5E2" w:themeColor="accent1"/>
        </w:rPr>
      </w:pPr>
      <w:r>
        <w:t>The group mentioned</w:t>
      </w:r>
      <w:r w:rsidR="003F1955">
        <w:t xml:space="preserve"> anecdotal evidence regarding</w:t>
      </w:r>
      <w:r>
        <w:t xml:space="preserve"> an issue of local households currently in their first own home, struggling to purchase follow-on accommodation as their household grows, particularly if they were only able to purchase their first home with the help of a government scheme to promote home ownership but when no similar assistance is available to enable them to move </w:t>
      </w:r>
      <w:r w:rsidR="003F1955">
        <w:t xml:space="preserve">on </w:t>
      </w:r>
      <w:r>
        <w:t xml:space="preserve">once their first home becomes too small for their growing household. This would speak for the appropriateness in Weymouth of promoting affordable home ownership products that are flexible and not restricted to first time buyers, but rather </w:t>
      </w:r>
      <w:r w:rsidR="003F1955">
        <w:t>restricted</w:t>
      </w:r>
      <w:r>
        <w:t xml:space="preserve"> on the basis of income.</w:t>
      </w:r>
    </w:p>
    <w:p w14:paraId="6F563A5F" w14:textId="179DCCCB" w:rsidR="0083645B" w:rsidRPr="006B57FF" w:rsidRDefault="00B44CCF" w:rsidP="0083645B">
      <w:pPr>
        <w:pStyle w:val="ListNumber"/>
      </w:pPr>
      <w:r>
        <w:t xml:space="preserve">Table </w:t>
      </w:r>
      <w:r w:rsidR="00440D87">
        <w:t>4-5</w:t>
      </w:r>
      <w:r w:rsidR="00581337">
        <w:t xml:space="preserve"> below</w:t>
      </w:r>
      <w:r>
        <w:t xml:space="preserve"> shows what discounts are required in order for properties to be affordable to households on average incomes.</w:t>
      </w:r>
      <w:r w:rsidR="0083645B">
        <w:t xml:space="preserve"> </w:t>
      </w:r>
      <w:r w:rsidR="0083645B" w:rsidRPr="006B57FF">
        <w:t>The discount required for new homes to be affordable to households on average incomes</w:t>
      </w:r>
      <w:r w:rsidR="0083645B">
        <w:t>, at 34%,</w:t>
      </w:r>
      <w:r w:rsidR="0083645B" w:rsidRPr="006B57FF">
        <w:t xml:space="preserve"> is higher than the 30% discount envisaged by government in the First Homes product, but not as </w:t>
      </w:r>
      <w:r w:rsidR="003F1955">
        <w:t>high</w:t>
      </w:r>
      <w:r w:rsidR="0083645B" w:rsidRPr="006B57FF">
        <w:t xml:space="preserve"> as in some parts of the country. A discount of only </w:t>
      </w:r>
      <w:r w:rsidR="0083645B">
        <w:t>12</w:t>
      </w:r>
      <w:r w:rsidR="0083645B" w:rsidRPr="006B57FF">
        <w:t xml:space="preserve">% would be required to entry level sale prices to make them affordable on average incomes. However, new homes are unlikely to be built at these prices and more likely to sell at higher than average </w:t>
      </w:r>
      <w:r w:rsidR="0083645B">
        <w:t xml:space="preserve">resale </w:t>
      </w:r>
      <w:r w:rsidR="0083645B" w:rsidRPr="006B57FF">
        <w:t>prices</w:t>
      </w:r>
      <w:r w:rsidR="0083645B">
        <w:t xml:space="preserve"> or higher</w:t>
      </w:r>
      <w:r w:rsidR="0083645B" w:rsidRPr="006B57FF">
        <w:t>.</w:t>
      </w:r>
      <w:r w:rsidR="0083645B">
        <w:t xml:space="preserve"> The discount that would be required on </w:t>
      </w:r>
      <w:r w:rsidR="003F1955">
        <w:t xml:space="preserve">the price of a local authority average price </w:t>
      </w:r>
      <w:r w:rsidR="0083645B">
        <w:t>new build home would be as much as 61% to make it affordable on average Weymouth prices.</w:t>
      </w:r>
    </w:p>
    <w:p w14:paraId="2DE1E4F9" w14:textId="6A717715" w:rsidR="005B4FAE" w:rsidRDefault="005B4FAE" w:rsidP="00A82210">
      <w:pPr>
        <w:pStyle w:val="ListNumber"/>
        <w:rPr>
          <w:rFonts w:eastAsia="Calibri"/>
        </w:rPr>
      </w:pPr>
      <w:r>
        <w:rPr>
          <w:rFonts w:eastAsia="Calibri"/>
        </w:rPr>
        <w:t xml:space="preserve">The </w:t>
      </w:r>
      <w:r w:rsidRPr="00C96999">
        <w:rPr>
          <w:rFonts w:eastAsia="Calibri"/>
        </w:rPr>
        <w:t xml:space="preserve">latest Government consultation </w:t>
      </w:r>
      <w:r>
        <w:rPr>
          <w:rFonts w:eastAsia="Calibri"/>
        </w:rPr>
        <w:t>on ‘Changes to the current planning system’</w:t>
      </w:r>
      <w:r>
        <w:rPr>
          <w:rStyle w:val="FootnoteReference"/>
          <w:rFonts w:eastAsia="Calibri"/>
          <w:szCs w:val="24"/>
        </w:rPr>
        <w:footnoteReference w:id="30"/>
      </w:r>
      <w:r>
        <w:rPr>
          <w:rFonts w:eastAsia="Calibri"/>
        </w:rPr>
        <w:t xml:space="preserve"> </w:t>
      </w:r>
      <w:r w:rsidRPr="00C96999">
        <w:rPr>
          <w:rFonts w:eastAsia="Calibri"/>
        </w:rPr>
        <w:t xml:space="preserve">proposes that Local Authorities will have discretion to increase the discount on First Homes to 40% or 50%, but that this would need to be evidenced in the Local Plan making process. </w:t>
      </w:r>
      <w:r w:rsidR="0083645B">
        <w:rPr>
          <w:rFonts w:eastAsia="Calibri"/>
        </w:rPr>
        <w:t>Alt</w:t>
      </w:r>
      <w:r w:rsidRPr="00C96999">
        <w:rPr>
          <w:rFonts w:eastAsia="Calibri"/>
        </w:rPr>
        <w:t>hough it is expected that the decision to require a higher discount and the evidence supporting it would be undertaken at district- or borough-wide level, the evidence presented in this HNA may be helpful in advancing that discussion</w:t>
      </w:r>
      <w:r>
        <w:rPr>
          <w:rFonts w:eastAsia="Calibri"/>
        </w:rPr>
        <w:t xml:space="preserve">. The evidence gathered here suggests that seeking </w:t>
      </w:r>
      <w:r w:rsidR="003B3D20">
        <w:rPr>
          <w:rFonts w:eastAsia="Calibri"/>
        </w:rPr>
        <w:t xml:space="preserve">a </w:t>
      </w:r>
      <w:r w:rsidR="0083645B">
        <w:rPr>
          <w:rFonts w:eastAsia="Calibri"/>
        </w:rPr>
        <w:t>higher discounts of 35% or more</w:t>
      </w:r>
      <w:r>
        <w:rPr>
          <w:rFonts w:eastAsia="Calibri"/>
        </w:rPr>
        <w:t xml:space="preserve"> would </w:t>
      </w:r>
      <w:r w:rsidR="003B3D20">
        <w:rPr>
          <w:rFonts w:eastAsia="Calibri"/>
        </w:rPr>
        <w:t xml:space="preserve">certainly </w:t>
      </w:r>
      <w:r>
        <w:rPr>
          <w:rFonts w:eastAsia="Calibri"/>
        </w:rPr>
        <w:t xml:space="preserve">be </w:t>
      </w:r>
      <w:r w:rsidRPr="0083645B">
        <w:rPr>
          <w:rFonts w:eastAsia="Calibri"/>
          <w:color w:val="auto"/>
        </w:rPr>
        <w:t>justified i</w:t>
      </w:r>
      <w:r>
        <w:rPr>
          <w:rFonts w:eastAsia="Calibri"/>
        </w:rPr>
        <w:t xml:space="preserve">n </w:t>
      </w:r>
      <w:r w:rsidR="0015105E">
        <w:rPr>
          <w:rFonts w:eastAsia="Calibri"/>
        </w:rPr>
        <w:t>Weymouth</w:t>
      </w:r>
      <w:r>
        <w:rPr>
          <w:rFonts w:eastAsia="Calibri"/>
        </w:rPr>
        <w:t>.</w:t>
      </w:r>
    </w:p>
    <w:p w14:paraId="2DE2D4CE" w14:textId="64E0FF2A" w:rsidR="007357AE" w:rsidRPr="0083645B" w:rsidRDefault="00440D87" w:rsidP="0083645B">
      <w:pPr>
        <w:pStyle w:val="Caption"/>
        <w:rPr>
          <w:rFonts w:eastAsia="Calibri"/>
          <w:sz w:val="18"/>
          <w:szCs w:val="18"/>
        </w:rPr>
      </w:pPr>
      <w:r w:rsidRPr="0083645B">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4</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603781">
        <w:rPr>
          <w:noProof/>
          <w:sz w:val="18"/>
          <w:szCs w:val="18"/>
        </w:rPr>
        <w:t>5</w:t>
      </w:r>
      <w:r w:rsidR="00BA4C32">
        <w:rPr>
          <w:sz w:val="18"/>
          <w:szCs w:val="18"/>
        </w:rPr>
        <w:fldChar w:fldCharType="end"/>
      </w:r>
      <w:r w:rsidR="007357AE" w:rsidRPr="0083645B">
        <w:rPr>
          <w:rFonts w:eastAsia="Calibri"/>
          <w:sz w:val="18"/>
          <w:szCs w:val="18"/>
        </w:rPr>
        <w:t xml:space="preserve">: % Discount on Sale </w:t>
      </w:r>
      <w:r w:rsidR="00B44CCF" w:rsidRPr="0083645B">
        <w:rPr>
          <w:rFonts w:eastAsia="Calibri"/>
          <w:sz w:val="18"/>
          <w:szCs w:val="18"/>
        </w:rPr>
        <w:t>P</w:t>
      </w:r>
      <w:r w:rsidR="007357AE" w:rsidRPr="0083645B">
        <w:rPr>
          <w:rFonts w:eastAsia="Calibri"/>
          <w:sz w:val="18"/>
          <w:szCs w:val="18"/>
        </w:rPr>
        <w:t xml:space="preserve">rice </w:t>
      </w:r>
      <w:r w:rsidR="00B44CCF" w:rsidRPr="0083645B">
        <w:rPr>
          <w:rFonts w:eastAsia="Calibri"/>
          <w:sz w:val="18"/>
          <w:szCs w:val="18"/>
        </w:rPr>
        <w:t>R</w:t>
      </w:r>
      <w:r w:rsidR="007357AE" w:rsidRPr="0083645B">
        <w:rPr>
          <w:rFonts w:eastAsia="Calibri"/>
          <w:sz w:val="18"/>
          <w:szCs w:val="18"/>
        </w:rPr>
        <w:t xml:space="preserve">equired </w:t>
      </w:r>
      <w:r w:rsidR="00B44CCF" w:rsidRPr="0083645B">
        <w:rPr>
          <w:rFonts w:eastAsia="Calibri"/>
          <w:sz w:val="18"/>
          <w:szCs w:val="18"/>
        </w:rPr>
        <w:t>for H</w:t>
      </w:r>
      <w:r w:rsidR="007357AE" w:rsidRPr="0083645B">
        <w:rPr>
          <w:rFonts w:eastAsia="Calibri"/>
          <w:sz w:val="18"/>
          <w:szCs w:val="18"/>
        </w:rPr>
        <w:t xml:space="preserve">ouseholds on </w:t>
      </w:r>
      <w:r w:rsidR="00B44CCF" w:rsidRPr="0083645B">
        <w:rPr>
          <w:rFonts w:eastAsia="Calibri"/>
          <w:sz w:val="18"/>
          <w:szCs w:val="18"/>
        </w:rPr>
        <w:t>Mean</w:t>
      </w:r>
      <w:r w:rsidR="007357AE" w:rsidRPr="0083645B">
        <w:rPr>
          <w:rFonts w:eastAsia="Calibri"/>
          <w:sz w:val="18"/>
          <w:szCs w:val="18"/>
        </w:rPr>
        <w:t xml:space="preserve"> </w:t>
      </w:r>
      <w:r w:rsidR="00B44CCF" w:rsidRPr="0083645B">
        <w:rPr>
          <w:rFonts w:eastAsia="Calibri"/>
          <w:sz w:val="18"/>
          <w:szCs w:val="18"/>
        </w:rPr>
        <w:t>I</w:t>
      </w:r>
      <w:r w:rsidR="007357AE" w:rsidRPr="0083645B">
        <w:rPr>
          <w:rFonts w:eastAsia="Calibri"/>
          <w:sz w:val="18"/>
          <w:szCs w:val="18"/>
        </w:rPr>
        <w:t xml:space="preserve">ncomes </w:t>
      </w:r>
      <w:r w:rsidR="00B44CCF" w:rsidRPr="0083645B">
        <w:rPr>
          <w:rFonts w:eastAsia="Calibri"/>
          <w:sz w:val="18"/>
          <w:szCs w:val="18"/>
        </w:rPr>
        <w:t>to A</w:t>
      </w:r>
      <w:r w:rsidR="007357AE" w:rsidRPr="0083645B">
        <w:rPr>
          <w:rFonts w:eastAsia="Calibri"/>
          <w:sz w:val="18"/>
          <w:szCs w:val="18"/>
        </w:rPr>
        <w:t>fford</w:t>
      </w:r>
    </w:p>
    <w:tbl>
      <w:tblPr>
        <w:tblStyle w:val="TableGrid23"/>
        <w:tblW w:w="0" w:type="auto"/>
        <w:tblLook w:val="04A0" w:firstRow="1" w:lastRow="0" w:firstColumn="1" w:lastColumn="0" w:noHBand="0" w:noVBand="1"/>
      </w:tblPr>
      <w:tblGrid>
        <w:gridCol w:w="4508"/>
        <w:gridCol w:w="5268"/>
      </w:tblGrid>
      <w:tr w:rsidR="007357AE" w:rsidRPr="0083645B" w14:paraId="56404113" w14:textId="77777777" w:rsidTr="00832DE0">
        <w:tc>
          <w:tcPr>
            <w:tcW w:w="4508" w:type="dxa"/>
          </w:tcPr>
          <w:p w14:paraId="720AB64E" w14:textId="32887640" w:rsidR="007357AE" w:rsidRPr="0083645B" w:rsidRDefault="00B44CCF" w:rsidP="007357AE">
            <w:pPr>
              <w:spacing w:before="0" w:after="0" w:line="240" w:lineRule="auto"/>
              <w:rPr>
                <w:rFonts w:asciiTheme="minorHAnsi" w:eastAsia="Calibri" w:hAnsiTheme="minorHAnsi" w:cstheme="minorHAnsi"/>
                <w:color w:val="auto"/>
                <w:sz w:val="18"/>
                <w:szCs w:val="18"/>
                <w:lang w:eastAsia="en-US"/>
              </w:rPr>
            </w:pPr>
            <w:r w:rsidRPr="0083645B">
              <w:rPr>
                <w:rFonts w:asciiTheme="minorHAnsi" w:eastAsia="Calibri" w:hAnsiTheme="minorHAnsi" w:cstheme="minorHAnsi"/>
                <w:color w:val="auto"/>
                <w:sz w:val="18"/>
                <w:szCs w:val="18"/>
                <w:lang w:eastAsia="en-US"/>
              </w:rPr>
              <w:t>Mean</w:t>
            </w:r>
            <w:r w:rsidR="007357AE" w:rsidRPr="0083645B">
              <w:rPr>
                <w:rFonts w:asciiTheme="minorHAnsi" w:eastAsia="Calibri" w:hAnsiTheme="minorHAnsi" w:cstheme="minorHAnsi"/>
                <w:color w:val="auto"/>
                <w:sz w:val="18"/>
                <w:szCs w:val="18"/>
                <w:lang w:eastAsia="en-US"/>
              </w:rPr>
              <w:t xml:space="preserve"> household income in NA:</w:t>
            </w:r>
          </w:p>
        </w:tc>
        <w:tc>
          <w:tcPr>
            <w:tcW w:w="5268" w:type="dxa"/>
          </w:tcPr>
          <w:p w14:paraId="2000B584" w14:textId="439B9D67" w:rsidR="007357AE" w:rsidRPr="0083645B" w:rsidRDefault="00FF53E4" w:rsidP="00FF53E4">
            <w:pPr>
              <w:spacing w:before="0" w:after="0" w:line="240" w:lineRule="auto"/>
              <w:rPr>
                <w:rFonts w:asciiTheme="minorHAnsi" w:eastAsia="Calibri" w:hAnsiTheme="minorHAnsi" w:cstheme="minorHAnsi"/>
                <w:b/>
                <w:color w:val="auto"/>
                <w:sz w:val="18"/>
                <w:szCs w:val="18"/>
                <w:highlight w:val="green"/>
                <w:lang w:eastAsia="en-US"/>
              </w:rPr>
            </w:pPr>
            <w:r w:rsidRPr="0083645B">
              <w:rPr>
                <w:rFonts w:asciiTheme="minorHAnsi" w:hAnsiTheme="minorHAnsi" w:cstheme="minorHAnsi"/>
                <w:sz w:val="18"/>
                <w:szCs w:val="18"/>
              </w:rPr>
              <w:t>£39,929</w:t>
            </w:r>
          </w:p>
        </w:tc>
      </w:tr>
      <w:tr w:rsidR="007357AE" w:rsidRPr="0083645B" w14:paraId="77C9C664" w14:textId="77777777" w:rsidTr="00832DE0">
        <w:tc>
          <w:tcPr>
            <w:tcW w:w="4508" w:type="dxa"/>
          </w:tcPr>
          <w:p w14:paraId="7A0D519D" w14:textId="77777777" w:rsidR="007357AE" w:rsidRPr="0083645B" w:rsidRDefault="007357AE" w:rsidP="007357AE">
            <w:pPr>
              <w:spacing w:before="0" w:after="0" w:line="240" w:lineRule="auto"/>
              <w:rPr>
                <w:rFonts w:asciiTheme="minorHAnsi" w:eastAsia="Calibri" w:hAnsiTheme="minorHAnsi" w:cstheme="minorHAnsi"/>
                <w:b/>
                <w:i/>
                <w:color w:val="auto"/>
                <w:sz w:val="18"/>
                <w:szCs w:val="18"/>
                <w:lang w:eastAsia="en-US"/>
              </w:rPr>
            </w:pPr>
            <w:r w:rsidRPr="0083645B">
              <w:rPr>
                <w:rFonts w:asciiTheme="minorHAnsi" w:eastAsia="Calibri" w:hAnsiTheme="minorHAnsi" w:cstheme="minorHAnsi"/>
                <w:b/>
                <w:i/>
                <w:color w:val="auto"/>
                <w:sz w:val="18"/>
                <w:szCs w:val="18"/>
                <w:lang w:eastAsia="en-US"/>
              </w:rPr>
              <w:t>Tenure/ product:</w:t>
            </w:r>
          </w:p>
        </w:tc>
        <w:tc>
          <w:tcPr>
            <w:tcW w:w="5268" w:type="dxa"/>
          </w:tcPr>
          <w:p w14:paraId="6C00DA76" w14:textId="77777777" w:rsidR="007357AE" w:rsidRPr="0083645B" w:rsidRDefault="007357AE" w:rsidP="007357AE">
            <w:pPr>
              <w:spacing w:before="0" w:after="0" w:line="240" w:lineRule="auto"/>
              <w:rPr>
                <w:rFonts w:asciiTheme="minorHAnsi" w:eastAsia="Calibri" w:hAnsiTheme="minorHAnsi" w:cstheme="minorHAnsi"/>
                <w:color w:val="auto"/>
                <w:sz w:val="18"/>
                <w:szCs w:val="18"/>
                <w:lang w:eastAsia="en-US"/>
              </w:rPr>
            </w:pPr>
            <w:r w:rsidRPr="0083645B">
              <w:rPr>
                <w:rFonts w:asciiTheme="minorHAnsi" w:eastAsia="Calibri" w:hAnsiTheme="minorHAnsi" w:cstheme="minorHAnsi"/>
                <w:color w:val="auto"/>
                <w:sz w:val="18"/>
                <w:szCs w:val="18"/>
                <w:lang w:eastAsia="en-US"/>
              </w:rPr>
              <w:t>Discount on sale price required:</w:t>
            </w:r>
          </w:p>
        </w:tc>
      </w:tr>
      <w:tr w:rsidR="00FF53E4" w:rsidRPr="0083645B" w14:paraId="16F47288" w14:textId="77777777" w:rsidTr="00832DE0">
        <w:tc>
          <w:tcPr>
            <w:tcW w:w="4508" w:type="dxa"/>
          </w:tcPr>
          <w:p w14:paraId="12CCEF54" w14:textId="77777777" w:rsidR="00FF53E4" w:rsidRPr="0083645B" w:rsidRDefault="00FF53E4" w:rsidP="00FF53E4">
            <w:pPr>
              <w:numPr>
                <w:ilvl w:val="0"/>
                <w:numId w:val="25"/>
              </w:numPr>
              <w:spacing w:before="0" w:after="0" w:line="240" w:lineRule="auto"/>
              <w:contextualSpacing/>
              <w:rPr>
                <w:rFonts w:asciiTheme="minorHAnsi" w:eastAsia="Calibri" w:hAnsiTheme="minorHAnsi" w:cstheme="minorHAnsi"/>
                <w:i/>
                <w:color w:val="auto"/>
                <w:sz w:val="18"/>
                <w:szCs w:val="18"/>
                <w:lang w:eastAsia="en-US"/>
              </w:rPr>
            </w:pPr>
            <w:r w:rsidRPr="0083645B">
              <w:rPr>
                <w:rFonts w:asciiTheme="minorHAnsi" w:eastAsia="Calibri" w:hAnsiTheme="minorHAnsi" w:cstheme="minorHAnsi"/>
                <w:i/>
                <w:color w:val="auto"/>
                <w:sz w:val="18"/>
                <w:szCs w:val="18"/>
                <w:lang w:eastAsia="en-US"/>
              </w:rPr>
              <w:t>Market sale (Average)</w:t>
            </w:r>
          </w:p>
        </w:tc>
        <w:tc>
          <w:tcPr>
            <w:tcW w:w="5268" w:type="dxa"/>
            <w:vAlign w:val="center"/>
          </w:tcPr>
          <w:p w14:paraId="5B062CE0" w14:textId="2C077F33" w:rsidR="00FF53E4" w:rsidRPr="0083645B" w:rsidRDefault="00FF53E4" w:rsidP="00FF53E4">
            <w:pPr>
              <w:spacing w:before="0" w:after="0" w:line="240" w:lineRule="auto"/>
              <w:rPr>
                <w:rFonts w:asciiTheme="minorHAnsi" w:eastAsia="Calibri" w:hAnsiTheme="minorHAnsi" w:cstheme="minorHAnsi"/>
                <w:color w:val="auto"/>
                <w:sz w:val="18"/>
                <w:szCs w:val="18"/>
                <w:highlight w:val="green"/>
                <w:lang w:eastAsia="en-US"/>
              </w:rPr>
            </w:pPr>
            <w:r w:rsidRPr="0083645B">
              <w:rPr>
                <w:rFonts w:asciiTheme="minorHAnsi" w:hAnsiTheme="minorHAnsi" w:cstheme="minorHAnsi"/>
                <w:b/>
                <w:bCs/>
                <w:sz w:val="18"/>
                <w:szCs w:val="18"/>
              </w:rPr>
              <w:t>34%</w:t>
            </w:r>
          </w:p>
        </w:tc>
      </w:tr>
      <w:tr w:rsidR="00FF53E4" w:rsidRPr="0083645B" w14:paraId="51EE864B" w14:textId="77777777" w:rsidTr="00832DE0">
        <w:tc>
          <w:tcPr>
            <w:tcW w:w="4508" w:type="dxa"/>
          </w:tcPr>
          <w:p w14:paraId="3ADA8720" w14:textId="57480216" w:rsidR="00FF53E4" w:rsidRPr="0083645B" w:rsidRDefault="00FF53E4" w:rsidP="00FF53E4">
            <w:pPr>
              <w:numPr>
                <w:ilvl w:val="0"/>
                <w:numId w:val="25"/>
              </w:numPr>
              <w:spacing w:before="0" w:after="0" w:line="240" w:lineRule="auto"/>
              <w:contextualSpacing/>
              <w:rPr>
                <w:rFonts w:asciiTheme="minorHAnsi" w:eastAsia="Calibri" w:hAnsiTheme="minorHAnsi" w:cstheme="minorHAnsi"/>
                <w:i/>
                <w:color w:val="auto"/>
                <w:sz w:val="18"/>
                <w:szCs w:val="18"/>
                <w:lang w:eastAsia="en-US"/>
              </w:rPr>
            </w:pPr>
            <w:r w:rsidRPr="0083645B">
              <w:rPr>
                <w:rFonts w:asciiTheme="minorHAnsi" w:eastAsia="Calibri" w:hAnsiTheme="minorHAnsi" w:cstheme="minorHAnsi"/>
                <w:i/>
                <w:color w:val="auto"/>
                <w:sz w:val="18"/>
                <w:szCs w:val="18"/>
                <w:lang w:eastAsia="en-US"/>
              </w:rPr>
              <w:t>New build market sale (Average for LA)</w:t>
            </w:r>
          </w:p>
        </w:tc>
        <w:tc>
          <w:tcPr>
            <w:tcW w:w="5268" w:type="dxa"/>
            <w:vAlign w:val="center"/>
          </w:tcPr>
          <w:p w14:paraId="6C7EA78C" w14:textId="5406B170" w:rsidR="00FF53E4" w:rsidRPr="0083645B" w:rsidRDefault="00FF53E4" w:rsidP="00FF53E4">
            <w:pPr>
              <w:spacing w:before="0" w:after="0" w:line="240" w:lineRule="auto"/>
              <w:rPr>
                <w:rFonts w:asciiTheme="minorHAnsi" w:eastAsia="Calibri" w:hAnsiTheme="minorHAnsi" w:cstheme="minorHAnsi"/>
                <w:color w:val="auto"/>
                <w:sz w:val="18"/>
                <w:szCs w:val="18"/>
                <w:highlight w:val="green"/>
                <w:lang w:eastAsia="en-US"/>
              </w:rPr>
            </w:pPr>
            <w:r w:rsidRPr="0083645B">
              <w:rPr>
                <w:rFonts w:asciiTheme="minorHAnsi" w:hAnsiTheme="minorHAnsi" w:cstheme="minorHAnsi"/>
                <w:b/>
                <w:bCs/>
                <w:sz w:val="18"/>
                <w:szCs w:val="18"/>
              </w:rPr>
              <w:t>61%</w:t>
            </w:r>
          </w:p>
        </w:tc>
      </w:tr>
      <w:tr w:rsidR="00FF53E4" w:rsidRPr="0083645B" w14:paraId="78A48DD4" w14:textId="77777777" w:rsidTr="00832DE0">
        <w:tc>
          <w:tcPr>
            <w:tcW w:w="4508" w:type="dxa"/>
          </w:tcPr>
          <w:p w14:paraId="46A2BC65" w14:textId="77777777" w:rsidR="00FF53E4" w:rsidRPr="0083645B" w:rsidRDefault="00FF53E4" w:rsidP="00FF53E4">
            <w:pPr>
              <w:numPr>
                <w:ilvl w:val="0"/>
                <w:numId w:val="25"/>
              </w:numPr>
              <w:spacing w:before="0" w:after="0" w:line="240" w:lineRule="auto"/>
              <w:contextualSpacing/>
              <w:rPr>
                <w:rFonts w:asciiTheme="minorHAnsi" w:eastAsia="Calibri" w:hAnsiTheme="minorHAnsi" w:cstheme="minorHAnsi"/>
                <w:i/>
                <w:color w:val="auto"/>
                <w:sz w:val="18"/>
                <w:szCs w:val="18"/>
                <w:lang w:eastAsia="en-US"/>
              </w:rPr>
            </w:pPr>
            <w:r w:rsidRPr="0083645B">
              <w:rPr>
                <w:rFonts w:asciiTheme="minorHAnsi" w:eastAsia="Calibri" w:hAnsiTheme="minorHAnsi" w:cstheme="minorHAnsi"/>
                <w:i/>
                <w:color w:val="auto"/>
                <w:sz w:val="18"/>
                <w:szCs w:val="18"/>
                <w:lang w:eastAsia="en-US"/>
              </w:rPr>
              <w:t>Entry level sale (LQ)</w:t>
            </w:r>
          </w:p>
        </w:tc>
        <w:tc>
          <w:tcPr>
            <w:tcW w:w="5268" w:type="dxa"/>
            <w:vAlign w:val="center"/>
          </w:tcPr>
          <w:p w14:paraId="6C223DAA" w14:textId="5426BC7B" w:rsidR="00FF53E4" w:rsidRPr="0083645B" w:rsidRDefault="00FF53E4" w:rsidP="00FF53E4">
            <w:pPr>
              <w:spacing w:before="0" w:after="0" w:line="240" w:lineRule="auto"/>
              <w:rPr>
                <w:rFonts w:asciiTheme="minorHAnsi" w:eastAsia="Calibri" w:hAnsiTheme="minorHAnsi" w:cstheme="minorHAnsi"/>
                <w:color w:val="auto"/>
                <w:sz w:val="18"/>
                <w:szCs w:val="18"/>
                <w:highlight w:val="green"/>
                <w:lang w:eastAsia="en-US"/>
              </w:rPr>
            </w:pPr>
            <w:r w:rsidRPr="0083645B">
              <w:rPr>
                <w:rFonts w:asciiTheme="minorHAnsi" w:hAnsiTheme="minorHAnsi" w:cstheme="minorHAnsi"/>
                <w:b/>
                <w:bCs/>
                <w:sz w:val="18"/>
                <w:szCs w:val="18"/>
              </w:rPr>
              <w:t>12%</w:t>
            </w:r>
          </w:p>
        </w:tc>
      </w:tr>
    </w:tbl>
    <w:p w14:paraId="5BE1ED95" w14:textId="1E58E2A0" w:rsidR="004F6EDD" w:rsidRDefault="007357AE" w:rsidP="007357AE">
      <w:pPr>
        <w:spacing w:before="0" w:after="160" w:line="259" w:lineRule="auto"/>
        <w:rPr>
          <w:rFonts w:asciiTheme="minorHAnsi" w:eastAsia="Calibri" w:hAnsiTheme="minorHAnsi" w:cstheme="minorHAnsi"/>
          <w:i/>
          <w:color w:val="auto"/>
          <w:sz w:val="18"/>
          <w:szCs w:val="18"/>
          <w:lang w:eastAsia="en-US"/>
        </w:rPr>
      </w:pPr>
      <w:r w:rsidRPr="0083645B">
        <w:rPr>
          <w:rFonts w:asciiTheme="minorHAnsi" w:eastAsia="Calibri" w:hAnsiTheme="minorHAnsi" w:cstheme="minorHAnsi"/>
          <w:i/>
          <w:color w:val="auto"/>
          <w:sz w:val="18"/>
          <w:szCs w:val="18"/>
          <w:lang w:eastAsia="en-US"/>
        </w:rPr>
        <w:t>Source: Land Registry PPD; ONS MSOA total household income</w:t>
      </w:r>
    </w:p>
    <w:p w14:paraId="118C87C8" w14:textId="6E05F714" w:rsidR="004F6EDD" w:rsidRDefault="004F6EDD" w:rsidP="004F6EDD">
      <w:pPr>
        <w:spacing w:before="0" w:after="0" w:line="240" w:lineRule="auto"/>
        <w:rPr>
          <w:rFonts w:asciiTheme="minorHAnsi" w:eastAsia="Calibri" w:hAnsiTheme="minorHAnsi" w:cstheme="minorHAnsi"/>
          <w:i/>
          <w:color w:val="auto"/>
          <w:sz w:val="18"/>
          <w:szCs w:val="18"/>
          <w:lang w:eastAsia="en-US"/>
        </w:rPr>
        <w:sectPr w:rsidR="004F6EDD" w:rsidSect="006C130A">
          <w:headerReference w:type="default" r:id="rId15"/>
          <w:pgSz w:w="11907" w:h="16839" w:code="9"/>
          <w:pgMar w:top="1440" w:right="1080" w:bottom="1080" w:left="993" w:header="432" w:footer="432" w:gutter="0"/>
          <w:cols w:space="720"/>
          <w:docGrid w:linePitch="360"/>
        </w:sectPr>
      </w:pPr>
    </w:p>
    <w:p w14:paraId="146CEDE3" w14:textId="4F913AE0" w:rsidR="007357AE" w:rsidRPr="0083645B" w:rsidRDefault="007357AE" w:rsidP="00832DE0">
      <w:pPr>
        <w:spacing w:before="0" w:after="0" w:line="240" w:lineRule="auto"/>
        <w:rPr>
          <w:rFonts w:asciiTheme="minorHAnsi" w:eastAsia="Calibri" w:hAnsiTheme="minorHAnsi" w:cstheme="minorHAnsi"/>
          <w:i/>
          <w:color w:val="auto"/>
          <w:sz w:val="18"/>
          <w:szCs w:val="18"/>
          <w:lang w:eastAsia="en-US"/>
        </w:rPr>
      </w:pPr>
    </w:p>
    <w:p w14:paraId="0BC1D4E4" w14:textId="1995F04B" w:rsidR="00215D9F" w:rsidRDefault="00603781" w:rsidP="00603781">
      <w:pPr>
        <w:pStyle w:val="Caption"/>
      </w:pPr>
      <w:r>
        <w:t xml:space="preserve">Figure </w:t>
      </w:r>
      <w:r w:rsidR="00D72010">
        <w:fldChar w:fldCharType="begin"/>
      </w:r>
      <w:r w:rsidR="00D72010">
        <w:instrText xml:space="preserve"> STYLEREF 1 \s </w:instrText>
      </w:r>
      <w:r w:rsidR="00D72010">
        <w:fldChar w:fldCharType="separate"/>
      </w:r>
      <w:r>
        <w:rPr>
          <w:noProof/>
        </w:rPr>
        <w:t>4</w:t>
      </w:r>
      <w:r w:rsidR="00D72010">
        <w:rPr>
          <w:noProof/>
        </w:rPr>
        <w:fldChar w:fldCharType="end"/>
      </w:r>
      <w:r>
        <w:noBreakHyphen/>
      </w:r>
      <w:r w:rsidR="00D72010">
        <w:fldChar w:fldCharType="begin"/>
      </w:r>
      <w:r w:rsidR="00D72010">
        <w:instrText xml:space="preserve"> SEQ Figure \* ARABIC \s 1 </w:instrText>
      </w:r>
      <w:r w:rsidR="00D72010">
        <w:fldChar w:fldCharType="separate"/>
      </w:r>
      <w:r>
        <w:rPr>
          <w:noProof/>
        </w:rPr>
        <w:t>2</w:t>
      </w:r>
      <w:r w:rsidR="00D72010">
        <w:rPr>
          <w:noProof/>
        </w:rPr>
        <w:fldChar w:fldCharType="end"/>
      </w:r>
      <w:r w:rsidR="00215D9F">
        <w:t>: Affordability thresholds</w:t>
      </w:r>
      <w:r w:rsidR="002D4F56">
        <w:t xml:space="preserve"> in </w:t>
      </w:r>
      <w:r w:rsidR="0015105E">
        <w:t>Weymouth</w:t>
      </w:r>
      <w:r w:rsidR="00215D9F">
        <w:t xml:space="preserve"> (income required, £)</w:t>
      </w:r>
    </w:p>
    <w:p w14:paraId="2610EC1F" w14:textId="36258D00" w:rsidR="00215D9F" w:rsidRPr="00284BD9" w:rsidRDefault="00FF53E4" w:rsidP="00A82210">
      <w:pPr>
        <w:pStyle w:val="ListNumber"/>
        <w:numPr>
          <w:ilvl w:val="0"/>
          <w:numId w:val="0"/>
        </w:numPr>
      </w:pPr>
      <w:r>
        <w:rPr>
          <w:noProof/>
        </w:rPr>
        <w:drawing>
          <wp:inline distT="0" distB="0" distL="0" distR="0" wp14:anchorId="599EFCCF" wp14:editId="0E6C8314">
            <wp:extent cx="9344025" cy="4972050"/>
            <wp:effectExtent l="0" t="0" r="9525" b="0"/>
            <wp:docPr id="16" name="Chart 16">
              <a:extLst xmlns:a="http://schemas.openxmlformats.org/drawingml/2006/main">
                <a:ext uri="{FF2B5EF4-FFF2-40B4-BE49-F238E27FC236}">
                  <a16:creationId xmlns:a16="http://schemas.microsoft.com/office/drawing/2014/main" id="{DE38DE6B-8758-4F2F-A936-5D516BD39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CB7E88" w14:textId="1BC64351" w:rsidR="004F6EDD" w:rsidRDefault="00215D9F" w:rsidP="00832DE0">
      <w:pPr>
        <w:pStyle w:val="Source"/>
        <w:jc w:val="both"/>
        <w:rPr>
          <w:sz w:val="18"/>
          <w:szCs w:val="18"/>
        </w:rPr>
      </w:pPr>
      <w:r w:rsidRPr="002D4F56">
        <w:rPr>
          <w:sz w:val="18"/>
          <w:szCs w:val="18"/>
        </w:rPr>
        <w:t>Source: AECOM Calculations</w:t>
      </w:r>
      <w:r w:rsidR="004F6EDD">
        <w:br w:type="page"/>
      </w:r>
    </w:p>
    <w:p w14:paraId="7181739B" w14:textId="6452C70A" w:rsidR="00215D9F" w:rsidRDefault="00215D9F" w:rsidP="00A82210">
      <w:pPr>
        <w:pStyle w:val="ListNumber"/>
        <w:numPr>
          <w:ilvl w:val="0"/>
          <w:numId w:val="0"/>
        </w:numPr>
        <w:ind w:left="425"/>
        <w:sectPr w:rsidR="00215D9F" w:rsidSect="00832DE0">
          <w:pgSz w:w="16839" w:h="11907" w:orient="landscape" w:code="9"/>
          <w:pgMar w:top="993" w:right="1440" w:bottom="1080" w:left="1080" w:header="432" w:footer="432" w:gutter="0"/>
          <w:cols w:space="720"/>
          <w:docGrid w:linePitch="360"/>
        </w:sectPr>
      </w:pPr>
    </w:p>
    <w:p w14:paraId="68500AAF" w14:textId="3C259840" w:rsidR="00A42F6C" w:rsidRDefault="00A42F6C" w:rsidP="002C2D5C">
      <w:pPr>
        <w:pStyle w:val="Heading2"/>
        <w:jc w:val="both"/>
      </w:pPr>
      <w:bookmarkStart w:id="106" w:name="_Toc64026802"/>
      <w:bookmarkStart w:id="107" w:name="_Hlk21428788"/>
      <w:r>
        <w:t xml:space="preserve">Affordable housing- quantity </w:t>
      </w:r>
      <w:r w:rsidR="002D4F56">
        <w:t>needed</w:t>
      </w:r>
      <w:bookmarkEnd w:id="106"/>
      <w:r w:rsidR="000E0E0E">
        <w:t xml:space="preserve"> </w:t>
      </w:r>
    </w:p>
    <w:p w14:paraId="67385A1D" w14:textId="6E3F5AE1" w:rsidR="0028006B" w:rsidRDefault="00E94511" w:rsidP="006F5EA1">
      <w:pPr>
        <w:pStyle w:val="ListNumber"/>
      </w:pPr>
      <w:bookmarkStart w:id="108" w:name="_Hlk63932889"/>
      <w:r w:rsidRPr="00645C74">
        <w:t>The starting point for understanding the need for affordable housing in</w:t>
      </w:r>
      <w:r>
        <w:t xml:space="preserve"> </w:t>
      </w:r>
      <w:r w:rsidR="0015105E">
        <w:t>Weymouth</w:t>
      </w:r>
      <w:r w:rsidRPr="00645C74">
        <w:t xml:space="preserve"> is the relevant Strategic Housing Market Assessment (SHMA</w:t>
      </w:r>
      <w:r w:rsidR="0083645B">
        <w:t>).</w:t>
      </w:r>
      <w:r w:rsidR="0028006B">
        <w:t xml:space="preserve"> </w:t>
      </w:r>
      <w:r w:rsidR="0083645B" w:rsidRPr="007D456C">
        <w:t>A</w:t>
      </w:r>
      <w:r w:rsidRPr="007D456C">
        <w:t xml:space="preserve"> SHMA was undertaken for </w:t>
      </w:r>
      <w:r w:rsidR="0083645B" w:rsidRPr="007D456C">
        <w:t>the</w:t>
      </w:r>
      <w:r w:rsidR="007D456C" w:rsidRPr="007D456C">
        <w:t xml:space="preserve"> Weymouth &amp; Portland and West Dorset Councils in 2014</w:t>
      </w:r>
      <w:r w:rsidR="007D456C">
        <w:t>.</w:t>
      </w:r>
      <w:r w:rsidR="0028006B">
        <w:t xml:space="preserve"> </w:t>
      </w:r>
      <w:r w:rsidRPr="00645C74">
        <w:t xml:space="preserve">This study estimates the need for affordable housing in the </w:t>
      </w:r>
      <w:r w:rsidR="0083645B">
        <w:t>HMA,</w:t>
      </w:r>
      <w:r w:rsidRPr="00645C74">
        <w:t xml:space="preserve"> </w:t>
      </w:r>
      <w:r w:rsidR="0012592E">
        <w:t>based on analysis of the Councils’ waiting lists and analysis of other data sets in line with Planning Practice Guidance at the time</w:t>
      </w:r>
      <w:r w:rsidRPr="0083645B">
        <w:t>.</w:t>
      </w:r>
      <w:r w:rsidRPr="00645C74">
        <w:t xml:space="preserve"> </w:t>
      </w:r>
      <w:r w:rsidR="003B3D20">
        <w:t>Despite now being a number of years old, t</w:t>
      </w:r>
      <w:r w:rsidR="00267777">
        <w:t>he very positive</w:t>
      </w:r>
      <w:r w:rsidR="003B3D20">
        <w:t xml:space="preserve"> and unusual</w:t>
      </w:r>
      <w:r w:rsidR="00267777">
        <w:t xml:space="preserve"> aspect of this SHMA is that it breaks all of its need estimates down into fairly detailed geographies. In the case of Weymouth, this relevant geography is Weymouth and Portland, </w:t>
      </w:r>
      <w:r w:rsidR="003B3D20">
        <w:t>the vast majority of which is taken</w:t>
      </w:r>
      <w:r w:rsidR="00267777">
        <w:t xml:space="preserve"> up by the </w:t>
      </w:r>
      <w:r w:rsidR="003B3D20">
        <w:t xml:space="preserve">Weymouth </w:t>
      </w:r>
      <w:r w:rsidR="00840C40">
        <w:t>NA</w:t>
      </w:r>
      <w:r w:rsidR="00267777">
        <w:t>.</w:t>
      </w:r>
    </w:p>
    <w:p w14:paraId="658B7A75" w14:textId="57C6AFAB" w:rsidR="0028006B" w:rsidRDefault="00E94511" w:rsidP="00295F63">
      <w:pPr>
        <w:pStyle w:val="ListNumber"/>
      </w:pPr>
      <w:r w:rsidRPr="00645C74">
        <w:t>The SHMA identifies</w:t>
      </w:r>
      <w:r w:rsidR="0012592E">
        <w:t xml:space="preserve"> a</w:t>
      </w:r>
      <w:r w:rsidR="0028006B">
        <w:t xml:space="preserve"> net</w:t>
      </w:r>
      <w:r w:rsidR="0012592E">
        <w:t xml:space="preserve"> </w:t>
      </w:r>
      <w:r w:rsidR="0028006B">
        <w:t xml:space="preserve">annual </w:t>
      </w:r>
      <w:r w:rsidRPr="00645C74">
        <w:t xml:space="preserve">need </w:t>
      </w:r>
      <w:r w:rsidR="0012592E">
        <w:t xml:space="preserve">of </w:t>
      </w:r>
      <w:r w:rsidR="0028006B">
        <w:t>130</w:t>
      </w:r>
      <w:r w:rsidR="0012592E">
        <w:t xml:space="preserve"> </w:t>
      </w:r>
      <w:r w:rsidR="0028006B">
        <w:t xml:space="preserve">affordable </w:t>
      </w:r>
      <w:r w:rsidR="0012592E">
        <w:t>units for Weymouth and Portland</w:t>
      </w:r>
      <w:r w:rsidR="0028006B">
        <w:t>, based on local housing market condition, in line with the outputs of an adjusted model based on locally specific affordability assumptions</w:t>
      </w:r>
      <w:r w:rsidR="0012592E">
        <w:t xml:space="preserve"> </w:t>
      </w:r>
      <w:r w:rsidR="00FC3E9F">
        <w:t xml:space="preserve">(see SHMA table </w:t>
      </w:r>
      <w:r w:rsidR="0012592E">
        <w:t>5.1</w:t>
      </w:r>
      <w:r w:rsidR="0028006B">
        <w:t>4</w:t>
      </w:r>
      <w:r w:rsidR="00FC3E9F">
        <w:t>)</w:t>
      </w:r>
      <w:r w:rsidRPr="00645C74">
        <w:t xml:space="preserve">. </w:t>
      </w:r>
      <w:r w:rsidR="0028006B">
        <w:t>This need is then disaggregated by size and type of home as follows (</w:t>
      </w:r>
      <w:r w:rsidR="002E028F">
        <w:t>see</w:t>
      </w:r>
      <w:r w:rsidR="0028006B">
        <w:t xml:space="preserve"> SHMA figure 5.2):</w:t>
      </w:r>
    </w:p>
    <w:p w14:paraId="44BA2C53" w14:textId="2ACAC7C1" w:rsidR="0028006B" w:rsidRDefault="002E028F" w:rsidP="002E028F">
      <w:pPr>
        <w:pStyle w:val="ListBullet"/>
      </w:pPr>
      <w:r>
        <w:t>22%</w:t>
      </w:r>
      <w:r w:rsidR="0028006B">
        <w:t xml:space="preserve"> require </w:t>
      </w:r>
      <w:r>
        <w:t>shared ownership</w:t>
      </w:r>
    </w:p>
    <w:p w14:paraId="30DF7656" w14:textId="49F9B43A" w:rsidR="002E028F" w:rsidRDefault="002E028F" w:rsidP="002E028F">
      <w:pPr>
        <w:pStyle w:val="ListBullet"/>
      </w:pPr>
      <w:r>
        <w:t>7% require discount home ownership</w:t>
      </w:r>
    </w:p>
    <w:p w14:paraId="26C17CA7" w14:textId="75CC7BD1" w:rsidR="002E028F" w:rsidRDefault="002E028F" w:rsidP="002E028F">
      <w:pPr>
        <w:pStyle w:val="ListBullet"/>
      </w:pPr>
      <w:r>
        <w:t>37% required affordable rent and</w:t>
      </w:r>
    </w:p>
    <w:p w14:paraId="4CCACF20" w14:textId="40FCBAAD" w:rsidR="002E028F" w:rsidRDefault="002E028F" w:rsidP="002E028F">
      <w:pPr>
        <w:pStyle w:val="ListBullet"/>
      </w:pPr>
      <w:r>
        <w:t>34% required social rent.</w:t>
      </w:r>
    </w:p>
    <w:p w14:paraId="31EFD599" w14:textId="5BBD535E" w:rsidR="00E94511" w:rsidRDefault="00E94511" w:rsidP="00295F63">
      <w:pPr>
        <w:pStyle w:val="ListNumber"/>
      </w:pPr>
      <w:r w:rsidRPr="00F04D60">
        <w:t>This need is</w:t>
      </w:r>
      <w:r w:rsidR="002E028F">
        <w:t xml:space="preserve"> therefore</w:t>
      </w:r>
      <w:r w:rsidRPr="00F04D60">
        <w:t xml:space="preserve"> largely for social/affordable rent</w:t>
      </w:r>
      <w:r w:rsidR="002E028F">
        <w:t xml:space="preserve"> (71%)</w:t>
      </w:r>
      <w:r w:rsidRPr="00F04D60">
        <w:t xml:space="preserve"> as it relates to households who live in unsuitable housing and who cannot afford to access market rents. A proportion of these households</w:t>
      </w:r>
      <w:r w:rsidR="002E028F">
        <w:t xml:space="preserve"> (29%) are deemed as likely</w:t>
      </w:r>
      <w:r w:rsidRPr="00F04D60">
        <w:t xml:space="preserve"> </w:t>
      </w:r>
      <w:r w:rsidR="002E028F">
        <w:t>to</w:t>
      </w:r>
      <w:r w:rsidRPr="00F04D60">
        <w:t xml:space="preserve"> be able to afford shared ownership </w:t>
      </w:r>
      <w:r w:rsidR="002E028F">
        <w:t xml:space="preserve">or discount home ownership, </w:t>
      </w:r>
      <w:r w:rsidRPr="00F04D60">
        <w:t xml:space="preserve">because in some cases </w:t>
      </w:r>
      <w:r w:rsidR="002E028F">
        <w:t>this</w:t>
      </w:r>
      <w:r w:rsidRPr="00F04D60">
        <w:t xml:space="preserve"> is more affordable than market rents, especially when available at a share of 25%.</w:t>
      </w:r>
      <w:r w:rsidR="002E028F">
        <w:t xml:space="preserve"> </w:t>
      </w:r>
      <w:r w:rsidR="003B3D20">
        <w:t>This is definitely still true for Weymouth today, in line with our updated affordability analysis above.</w:t>
      </w:r>
    </w:p>
    <w:p w14:paraId="5631ECDC" w14:textId="53F8E2AA" w:rsidR="00267777" w:rsidRDefault="00267777" w:rsidP="00295F63">
      <w:pPr>
        <w:pStyle w:val="ListNumber"/>
      </w:pPr>
      <w:r>
        <w:t>The affordable housing need</w:t>
      </w:r>
      <w:r w:rsidR="003B3D20">
        <w:t xml:space="preserve"> in the SHMA</w:t>
      </w:r>
      <w:r>
        <w:t xml:space="preserve"> is further broken down into the suggested size of units needed:</w:t>
      </w:r>
    </w:p>
    <w:p w14:paraId="5FACDDFC" w14:textId="5B9CF4B1" w:rsidR="00171B70" w:rsidRPr="00171B70" w:rsidRDefault="00D12F8F" w:rsidP="00267777">
      <w:pPr>
        <w:pStyle w:val="ListNumber"/>
        <w:numPr>
          <w:ilvl w:val="0"/>
          <w:numId w:val="0"/>
        </w:numPr>
        <w:ind w:left="425"/>
        <w:rPr>
          <w:lang w:val="en-GB"/>
        </w:rPr>
      </w:pPr>
      <w:r w:rsidRPr="00D12F8F">
        <w:rPr>
          <w:noProof/>
        </w:rPr>
        <w:drawing>
          <wp:inline distT="0" distB="0" distL="0" distR="0" wp14:anchorId="54890648" wp14:editId="0BC228B5">
            <wp:extent cx="4129200" cy="26172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9200" cy="2617200"/>
                    </a:xfrm>
                    <a:prstGeom prst="rect">
                      <a:avLst/>
                    </a:prstGeom>
                    <a:noFill/>
                    <a:ln>
                      <a:noFill/>
                    </a:ln>
                  </pic:spPr>
                </pic:pic>
              </a:graphicData>
            </a:graphic>
          </wp:inline>
        </w:drawing>
      </w:r>
    </w:p>
    <w:p w14:paraId="3DB334EE" w14:textId="681B65EF" w:rsidR="00D12F8F" w:rsidRDefault="00D12F8F" w:rsidP="00D12F8F">
      <w:pPr>
        <w:pStyle w:val="Source"/>
        <w:rPr>
          <w:rFonts w:eastAsiaTheme="minorHAnsi"/>
          <w:lang w:eastAsia="en-US"/>
        </w:rPr>
      </w:pPr>
      <w:r>
        <w:rPr>
          <w:rFonts w:eastAsiaTheme="minorHAnsi"/>
          <w:lang w:eastAsia="en-US"/>
        </w:rPr>
        <w:t xml:space="preserve">Source: </w:t>
      </w:r>
      <w:r>
        <w:t>Extract from SHMA figure 5.2 – Net annual requirement for affordable housing – Weymouth and Portland</w:t>
      </w:r>
    </w:p>
    <w:p w14:paraId="56FC7752" w14:textId="77777777" w:rsidR="00D12F8F" w:rsidRPr="003B3D20" w:rsidRDefault="00D12F8F" w:rsidP="00D12F8F">
      <w:pPr>
        <w:pStyle w:val="ListNumber"/>
        <w:numPr>
          <w:ilvl w:val="0"/>
          <w:numId w:val="0"/>
        </w:numPr>
        <w:ind w:left="425"/>
        <w:rPr>
          <w:rFonts w:eastAsiaTheme="minorHAnsi"/>
          <w:sz w:val="10"/>
          <w:szCs w:val="10"/>
          <w:lang w:eastAsia="en-US"/>
        </w:rPr>
      </w:pPr>
    </w:p>
    <w:p w14:paraId="557676D3" w14:textId="0E41AB19" w:rsidR="00A71F61" w:rsidRPr="00F80EE8" w:rsidRDefault="00A71F61" w:rsidP="00F80EE8">
      <w:pPr>
        <w:pStyle w:val="ListNumber"/>
        <w:rPr>
          <w:rFonts w:eastAsiaTheme="minorHAnsi"/>
          <w:lang w:eastAsia="en-US"/>
        </w:rPr>
      </w:pPr>
      <w:r w:rsidRPr="00A71F61">
        <w:rPr>
          <w:rFonts w:eastAsiaTheme="minorHAnsi"/>
          <w:lang w:eastAsia="en-US"/>
        </w:rPr>
        <w:t xml:space="preserve">The </w:t>
      </w:r>
      <w:r>
        <w:rPr>
          <w:rFonts w:eastAsiaTheme="minorHAnsi"/>
          <w:lang w:eastAsia="en-US"/>
        </w:rPr>
        <w:t xml:space="preserve">2011 </w:t>
      </w:r>
      <w:r w:rsidRPr="00A71F61">
        <w:rPr>
          <w:rFonts w:eastAsiaTheme="minorHAnsi"/>
          <w:lang w:eastAsia="en-US"/>
        </w:rPr>
        <w:t>Census indicate</w:t>
      </w:r>
      <w:r>
        <w:rPr>
          <w:rFonts w:eastAsiaTheme="minorHAnsi"/>
          <w:lang w:eastAsia="en-US"/>
        </w:rPr>
        <w:t xml:space="preserve">d </w:t>
      </w:r>
      <w:r w:rsidRPr="00A71F61">
        <w:rPr>
          <w:rFonts w:eastAsiaTheme="minorHAnsi"/>
          <w:lang w:eastAsia="en-US"/>
        </w:rPr>
        <w:t xml:space="preserve">that in 2011 the population of the Borough </w:t>
      </w:r>
      <w:r>
        <w:rPr>
          <w:rFonts w:eastAsiaTheme="minorHAnsi"/>
          <w:lang w:eastAsia="en-US"/>
        </w:rPr>
        <w:t xml:space="preserve">of Weymouth and Portland </w:t>
      </w:r>
      <w:r w:rsidRPr="00A71F61">
        <w:rPr>
          <w:rFonts w:eastAsiaTheme="minorHAnsi"/>
          <w:lang w:eastAsia="en-US"/>
        </w:rPr>
        <w:t>was 65,167</w:t>
      </w:r>
      <w:r>
        <w:rPr>
          <w:rFonts w:eastAsiaTheme="minorHAnsi"/>
          <w:lang w:eastAsia="en-US"/>
        </w:rPr>
        <w:t xml:space="preserve">. The Census </w:t>
      </w:r>
      <w:r w:rsidR="00267777">
        <w:rPr>
          <w:rFonts w:eastAsiaTheme="minorHAnsi"/>
          <w:lang w:eastAsia="en-US"/>
        </w:rPr>
        <w:t xml:space="preserve">further </w:t>
      </w:r>
      <w:r>
        <w:rPr>
          <w:rFonts w:eastAsiaTheme="minorHAnsi"/>
          <w:lang w:eastAsia="en-US"/>
        </w:rPr>
        <w:t xml:space="preserve">shows a population for the </w:t>
      </w:r>
      <w:r w:rsidR="00840C40">
        <w:rPr>
          <w:rFonts w:eastAsiaTheme="minorHAnsi"/>
          <w:lang w:eastAsia="en-US"/>
        </w:rPr>
        <w:t>NA</w:t>
      </w:r>
      <w:r>
        <w:rPr>
          <w:rFonts w:eastAsiaTheme="minorHAnsi"/>
          <w:lang w:eastAsia="en-US"/>
        </w:rPr>
        <w:t xml:space="preserve"> of Weymouth </w:t>
      </w:r>
      <w:r w:rsidR="00F80EE8" w:rsidRPr="00747D45">
        <w:t xml:space="preserve">of </w:t>
      </w:r>
      <w:r w:rsidR="00F80EE8">
        <w:t>52,323</w:t>
      </w:r>
      <w:r w:rsidR="00F80EE8" w:rsidRPr="00747D45">
        <w:t xml:space="preserve"> residents</w:t>
      </w:r>
      <w:r w:rsidR="00F80EE8">
        <w:t>. Therefore</w:t>
      </w:r>
      <w:r w:rsidR="003D684E">
        <w:t>,</w:t>
      </w:r>
      <w:r w:rsidR="00F80EE8">
        <w:t xml:space="preserve"> the population of the </w:t>
      </w:r>
      <w:r w:rsidR="00267777">
        <w:t xml:space="preserve">Weymouth </w:t>
      </w:r>
      <w:r w:rsidR="00840C40">
        <w:t>NA</w:t>
      </w:r>
      <w:r w:rsidR="00F80EE8">
        <w:t xml:space="preserve"> makes up 80.29%</w:t>
      </w:r>
      <w:r w:rsidR="003D684E">
        <w:t xml:space="preserve"> of the total Weymouth and Portland population used as the basis for the SHMA calculations of affordable housing need.</w:t>
      </w:r>
    </w:p>
    <w:p w14:paraId="58E2298B" w14:textId="08C4ADCB" w:rsidR="00E94511" w:rsidRPr="00645C74" w:rsidRDefault="00E94511" w:rsidP="00A82210">
      <w:pPr>
        <w:pStyle w:val="ListNumber"/>
      </w:pPr>
      <w:r w:rsidRPr="00645C74">
        <w:t xml:space="preserve">When the SHMA figures are pro-rated to </w:t>
      </w:r>
      <w:r w:rsidR="00F04D60">
        <w:t>Weymouth</w:t>
      </w:r>
      <w:r w:rsidRPr="00645C74">
        <w:t xml:space="preserve"> based on its fair share of the population </w:t>
      </w:r>
      <w:r w:rsidR="003D684E">
        <w:t xml:space="preserve">figure used </w:t>
      </w:r>
      <w:r w:rsidRPr="00645C74">
        <w:t>(</w:t>
      </w:r>
      <w:r w:rsidR="003D684E">
        <w:t>80.29</w:t>
      </w:r>
      <w:r w:rsidRPr="00645C74">
        <w:t xml:space="preserve">% of the </w:t>
      </w:r>
      <w:r w:rsidR="0028006B">
        <w:t>total Weymouth and Portland</w:t>
      </w:r>
      <w:r w:rsidRPr="00645C74">
        <w:t xml:space="preserve"> population), this equates to</w:t>
      </w:r>
      <w:r w:rsidR="00F04D60">
        <w:t xml:space="preserve"> roughly</w:t>
      </w:r>
      <w:r w:rsidRPr="00645C74">
        <w:t xml:space="preserve"> </w:t>
      </w:r>
      <w:r w:rsidR="003D684E">
        <w:t xml:space="preserve">104.4 </w:t>
      </w:r>
      <w:r w:rsidR="00267777">
        <w:t xml:space="preserve">affordable </w:t>
      </w:r>
      <w:r w:rsidRPr="00645C74">
        <w:t xml:space="preserve">homes </w:t>
      </w:r>
      <w:r w:rsidR="00267777">
        <w:t xml:space="preserve">needed </w:t>
      </w:r>
      <w:r w:rsidRPr="00645C74">
        <w:t>per annum (predominately for social/affordable rent) or</w:t>
      </w:r>
      <w:r w:rsidR="00F04D60">
        <w:t xml:space="preserve"> </w:t>
      </w:r>
      <w:r w:rsidR="003D684E">
        <w:t>1,774</w:t>
      </w:r>
      <w:r w:rsidRPr="00645C74">
        <w:t xml:space="preserve"> homes over the</w:t>
      </w:r>
      <w:r w:rsidR="00F04D60">
        <w:t xml:space="preserve"> 17 year</w:t>
      </w:r>
      <w:r w:rsidRPr="00645C74">
        <w:t xml:space="preserve"> Neighbourhood Plan period </w:t>
      </w:r>
      <w:r w:rsidR="00F04D60" w:rsidRPr="00F04D60">
        <w:t>from 2021-2038</w:t>
      </w:r>
      <w:r w:rsidRPr="00F04D60">
        <w:t>.</w:t>
      </w:r>
      <w:r w:rsidR="00F04D60">
        <w:t xml:space="preserve"> </w:t>
      </w:r>
      <w:r w:rsidR="003D684E">
        <w:t>If we use the tenure split percentages proposed by the SHMA</w:t>
      </w:r>
      <w:r w:rsidR="003B54A1">
        <w:t>, based on its needs analysis</w:t>
      </w:r>
      <w:r w:rsidR="003D684E">
        <w:t xml:space="preserve">, this would </w:t>
      </w:r>
      <w:r w:rsidR="00267777">
        <w:t>suggest</w:t>
      </w:r>
      <w:r w:rsidR="009B781A">
        <w:t xml:space="preserve"> a net need for</w:t>
      </w:r>
      <w:r w:rsidR="003D684E">
        <w:t xml:space="preserve"> </w:t>
      </w:r>
      <w:r w:rsidR="00B81DFA">
        <w:t>74.124 homes per year for social/affordable rent (1,260 over 17 years) and 30.276 homes per year as affordable housing for sale (515 over 17 years).</w:t>
      </w:r>
      <w:r w:rsidRPr="00645C74">
        <w:t xml:space="preserve"> </w:t>
      </w:r>
    </w:p>
    <w:p w14:paraId="6CFEF43A" w14:textId="7735633F" w:rsidR="006C130A" w:rsidRPr="006C130A" w:rsidRDefault="006C130A" w:rsidP="00267777">
      <w:pPr>
        <w:pStyle w:val="ListNumber"/>
        <w:spacing w:after="0"/>
      </w:pPr>
      <w:r>
        <w:t xml:space="preserve">To compare with this prorated SHMA figure, </w:t>
      </w:r>
      <w:r w:rsidR="00267777">
        <w:t>AECOM have also looked at some more up to date waiting list information</w:t>
      </w:r>
      <w:r w:rsidR="003B54A1">
        <w:t xml:space="preserve"> available from the local authority</w:t>
      </w:r>
      <w:r w:rsidR="00267777">
        <w:t xml:space="preserve">. </w:t>
      </w:r>
      <w:r w:rsidR="00D95ACD" w:rsidRPr="000873D7">
        <w:t xml:space="preserve">It should </w:t>
      </w:r>
      <w:r w:rsidR="00267777">
        <w:t>be</w:t>
      </w:r>
      <w:r w:rsidR="00D95ACD" w:rsidRPr="000873D7">
        <w:t xml:space="preserve"> noted that </w:t>
      </w:r>
      <w:r w:rsidR="00267777">
        <w:t xml:space="preserve">these </w:t>
      </w:r>
      <w:r w:rsidR="00D95ACD" w:rsidRPr="000873D7">
        <w:t xml:space="preserve">figures are largely dependent on information provided by </w:t>
      </w:r>
      <w:r>
        <w:t>Dorset Council</w:t>
      </w:r>
      <w:r w:rsidR="00D95ACD">
        <w:t xml:space="preserve"> in its capacity as manager of the local housing waiting list. </w:t>
      </w:r>
      <w:r>
        <w:t>The current number of households on the council’s Affordable Housing register / waiting list who live in the Weymouth Neighbourhood Plan area or have a local connection is 1,401. This can be broken down as follows:</w:t>
      </w:r>
    </w:p>
    <w:tbl>
      <w:tblPr>
        <w:tblW w:w="0" w:type="auto"/>
        <w:tblCellMar>
          <w:left w:w="0" w:type="dxa"/>
          <w:right w:w="0" w:type="dxa"/>
        </w:tblCellMar>
        <w:tblLook w:val="04A0" w:firstRow="1" w:lastRow="0" w:firstColumn="1" w:lastColumn="0" w:noHBand="0" w:noVBand="1"/>
      </w:tblPr>
      <w:tblGrid>
        <w:gridCol w:w="1654"/>
        <w:gridCol w:w="1008"/>
        <w:gridCol w:w="1008"/>
        <w:gridCol w:w="1008"/>
      </w:tblGrid>
      <w:tr w:rsidR="006C130A" w:rsidRPr="006C130A" w14:paraId="52363A3E" w14:textId="77777777" w:rsidTr="006C130A">
        <w:trPr>
          <w:trHeight w:val="288"/>
        </w:trPr>
        <w:tc>
          <w:tcPr>
            <w:tcW w:w="3024" w:type="dxa"/>
            <w:gridSpan w:val="3"/>
            <w:tcMar>
              <w:top w:w="0" w:type="dxa"/>
              <w:left w:w="30" w:type="dxa"/>
              <w:bottom w:w="0" w:type="dxa"/>
              <w:right w:w="30" w:type="dxa"/>
            </w:tcMar>
            <w:hideMark/>
          </w:tcPr>
          <w:p w14:paraId="0BEC4BE9" w14:textId="10FF1716" w:rsidR="006C130A" w:rsidRPr="006C130A" w:rsidRDefault="006C130A" w:rsidP="006C130A">
            <w:pPr>
              <w:pStyle w:val="TableListBullet"/>
              <w:ind w:left="1104" w:right="-1005"/>
              <w:rPr>
                <w:rFonts w:ascii="Calibri" w:hAnsi="Calibri" w:cs="Calibri"/>
                <w:sz w:val="18"/>
                <w:szCs w:val="18"/>
              </w:rPr>
            </w:pPr>
            <w:r w:rsidRPr="006C130A">
              <w:rPr>
                <w:sz w:val="18"/>
                <w:szCs w:val="18"/>
              </w:rPr>
              <w:t>Single/couple requiring 1 Bed</w:t>
            </w:r>
            <w:r w:rsidR="00684C64">
              <w:rPr>
                <w:sz w:val="18"/>
                <w:szCs w:val="18"/>
              </w:rPr>
              <w:t>:</w:t>
            </w:r>
          </w:p>
        </w:tc>
        <w:tc>
          <w:tcPr>
            <w:tcW w:w="1008" w:type="dxa"/>
            <w:tcMar>
              <w:top w:w="0" w:type="dxa"/>
              <w:left w:w="30" w:type="dxa"/>
              <w:bottom w:w="0" w:type="dxa"/>
              <w:right w:w="30" w:type="dxa"/>
            </w:tcMar>
            <w:hideMark/>
          </w:tcPr>
          <w:p w14:paraId="0328E06C" w14:textId="77777777" w:rsidR="006C130A" w:rsidRPr="006C130A" w:rsidRDefault="006C130A" w:rsidP="00684C64">
            <w:pPr>
              <w:pStyle w:val="TableListBullet"/>
              <w:numPr>
                <w:ilvl w:val="0"/>
                <w:numId w:val="0"/>
              </w:numPr>
              <w:ind w:right="-1005"/>
              <w:jc w:val="both"/>
              <w:rPr>
                <w:sz w:val="18"/>
                <w:szCs w:val="18"/>
              </w:rPr>
            </w:pPr>
            <w:r w:rsidRPr="006C130A">
              <w:rPr>
                <w:sz w:val="18"/>
                <w:szCs w:val="18"/>
              </w:rPr>
              <w:t>821</w:t>
            </w:r>
          </w:p>
        </w:tc>
      </w:tr>
      <w:tr w:rsidR="006C130A" w:rsidRPr="006C130A" w14:paraId="681FCA89" w14:textId="77777777" w:rsidTr="006C130A">
        <w:trPr>
          <w:trHeight w:val="288"/>
        </w:trPr>
        <w:tc>
          <w:tcPr>
            <w:tcW w:w="3024" w:type="dxa"/>
            <w:gridSpan w:val="3"/>
            <w:tcMar>
              <w:top w:w="0" w:type="dxa"/>
              <w:left w:w="30" w:type="dxa"/>
              <w:bottom w:w="0" w:type="dxa"/>
              <w:right w:w="30" w:type="dxa"/>
            </w:tcMar>
            <w:hideMark/>
          </w:tcPr>
          <w:p w14:paraId="05654069" w14:textId="2182ACB6" w:rsidR="006C130A" w:rsidRPr="006C130A" w:rsidRDefault="006C130A" w:rsidP="006C130A">
            <w:pPr>
              <w:pStyle w:val="TableListBullet"/>
              <w:ind w:left="1104" w:right="-1005"/>
              <w:rPr>
                <w:sz w:val="18"/>
                <w:szCs w:val="18"/>
              </w:rPr>
            </w:pPr>
            <w:r w:rsidRPr="006C130A">
              <w:rPr>
                <w:sz w:val="18"/>
                <w:szCs w:val="18"/>
              </w:rPr>
              <w:t>Family requiring 2 Bed</w:t>
            </w:r>
            <w:r w:rsidR="00684C64">
              <w:rPr>
                <w:sz w:val="18"/>
                <w:szCs w:val="18"/>
              </w:rPr>
              <w:t>:</w:t>
            </w:r>
          </w:p>
        </w:tc>
        <w:tc>
          <w:tcPr>
            <w:tcW w:w="1008" w:type="dxa"/>
            <w:tcMar>
              <w:top w:w="0" w:type="dxa"/>
              <w:left w:w="30" w:type="dxa"/>
              <w:bottom w:w="0" w:type="dxa"/>
              <w:right w:w="30" w:type="dxa"/>
            </w:tcMar>
            <w:hideMark/>
          </w:tcPr>
          <w:p w14:paraId="1864A522" w14:textId="77777777" w:rsidR="006C130A" w:rsidRPr="006C130A" w:rsidRDefault="006C130A" w:rsidP="00684C64">
            <w:pPr>
              <w:pStyle w:val="TableListBullet"/>
              <w:numPr>
                <w:ilvl w:val="0"/>
                <w:numId w:val="0"/>
              </w:numPr>
              <w:ind w:right="-1005"/>
              <w:jc w:val="both"/>
              <w:rPr>
                <w:sz w:val="18"/>
                <w:szCs w:val="18"/>
              </w:rPr>
            </w:pPr>
            <w:r w:rsidRPr="006C130A">
              <w:rPr>
                <w:sz w:val="18"/>
                <w:szCs w:val="18"/>
              </w:rPr>
              <w:t>352</w:t>
            </w:r>
          </w:p>
        </w:tc>
      </w:tr>
      <w:tr w:rsidR="006C130A" w:rsidRPr="006C130A" w14:paraId="189AE0DA" w14:textId="77777777" w:rsidTr="006C130A">
        <w:trPr>
          <w:trHeight w:val="288"/>
        </w:trPr>
        <w:tc>
          <w:tcPr>
            <w:tcW w:w="3024" w:type="dxa"/>
            <w:gridSpan w:val="3"/>
            <w:tcMar>
              <w:top w:w="0" w:type="dxa"/>
              <w:left w:w="30" w:type="dxa"/>
              <w:bottom w:w="0" w:type="dxa"/>
              <w:right w:w="30" w:type="dxa"/>
            </w:tcMar>
            <w:hideMark/>
          </w:tcPr>
          <w:p w14:paraId="26A9EB06" w14:textId="7757E793" w:rsidR="006C130A" w:rsidRPr="006C130A" w:rsidRDefault="006C130A" w:rsidP="006C130A">
            <w:pPr>
              <w:pStyle w:val="TableListBullet"/>
              <w:ind w:left="1104" w:right="-1005"/>
              <w:rPr>
                <w:sz w:val="18"/>
                <w:szCs w:val="18"/>
              </w:rPr>
            </w:pPr>
            <w:r w:rsidRPr="006C130A">
              <w:rPr>
                <w:sz w:val="18"/>
                <w:szCs w:val="18"/>
              </w:rPr>
              <w:t>Family requiring 3 Bed</w:t>
            </w:r>
            <w:r w:rsidR="00684C64">
              <w:rPr>
                <w:sz w:val="18"/>
                <w:szCs w:val="18"/>
              </w:rPr>
              <w:t>:</w:t>
            </w:r>
          </w:p>
        </w:tc>
        <w:tc>
          <w:tcPr>
            <w:tcW w:w="1008" w:type="dxa"/>
            <w:tcMar>
              <w:top w:w="0" w:type="dxa"/>
              <w:left w:w="30" w:type="dxa"/>
              <w:bottom w:w="0" w:type="dxa"/>
              <w:right w:w="30" w:type="dxa"/>
            </w:tcMar>
            <w:hideMark/>
          </w:tcPr>
          <w:p w14:paraId="5FAA0551" w14:textId="77777777" w:rsidR="006C130A" w:rsidRPr="006C130A" w:rsidRDefault="006C130A" w:rsidP="00684C64">
            <w:pPr>
              <w:pStyle w:val="TableListBullet"/>
              <w:numPr>
                <w:ilvl w:val="0"/>
                <w:numId w:val="0"/>
              </w:numPr>
              <w:ind w:right="-1005"/>
              <w:jc w:val="both"/>
              <w:rPr>
                <w:sz w:val="18"/>
                <w:szCs w:val="18"/>
              </w:rPr>
            </w:pPr>
            <w:r w:rsidRPr="006C130A">
              <w:rPr>
                <w:sz w:val="18"/>
                <w:szCs w:val="18"/>
              </w:rPr>
              <w:t>170</w:t>
            </w:r>
          </w:p>
        </w:tc>
      </w:tr>
      <w:tr w:rsidR="006C130A" w:rsidRPr="006C130A" w14:paraId="26521537" w14:textId="77777777" w:rsidTr="006C130A">
        <w:trPr>
          <w:trHeight w:val="288"/>
        </w:trPr>
        <w:tc>
          <w:tcPr>
            <w:tcW w:w="3024" w:type="dxa"/>
            <w:gridSpan w:val="3"/>
            <w:tcMar>
              <w:top w:w="0" w:type="dxa"/>
              <w:left w:w="30" w:type="dxa"/>
              <w:bottom w:w="0" w:type="dxa"/>
              <w:right w:w="30" w:type="dxa"/>
            </w:tcMar>
            <w:hideMark/>
          </w:tcPr>
          <w:p w14:paraId="08B0B84E" w14:textId="77777777" w:rsidR="006C130A" w:rsidRPr="006C130A" w:rsidRDefault="006C130A" w:rsidP="006C130A">
            <w:pPr>
              <w:pStyle w:val="TableListBullet"/>
              <w:ind w:left="1104" w:right="-1005"/>
              <w:rPr>
                <w:sz w:val="18"/>
                <w:szCs w:val="18"/>
              </w:rPr>
            </w:pPr>
            <w:r w:rsidRPr="006C130A">
              <w:rPr>
                <w:sz w:val="18"/>
                <w:szCs w:val="18"/>
              </w:rPr>
              <w:t>Family requiring 4 Bed</w:t>
            </w:r>
          </w:p>
        </w:tc>
        <w:tc>
          <w:tcPr>
            <w:tcW w:w="1008" w:type="dxa"/>
            <w:tcMar>
              <w:top w:w="0" w:type="dxa"/>
              <w:left w:w="30" w:type="dxa"/>
              <w:bottom w:w="0" w:type="dxa"/>
              <w:right w:w="30" w:type="dxa"/>
            </w:tcMar>
            <w:hideMark/>
          </w:tcPr>
          <w:p w14:paraId="7E9B4925" w14:textId="77777777" w:rsidR="006C130A" w:rsidRPr="006C130A" w:rsidRDefault="006C130A" w:rsidP="00684C64">
            <w:pPr>
              <w:pStyle w:val="TableListBullet"/>
              <w:numPr>
                <w:ilvl w:val="0"/>
                <w:numId w:val="0"/>
              </w:numPr>
              <w:ind w:right="-1005"/>
              <w:jc w:val="both"/>
              <w:rPr>
                <w:sz w:val="18"/>
                <w:szCs w:val="18"/>
              </w:rPr>
            </w:pPr>
            <w:r w:rsidRPr="006C130A">
              <w:rPr>
                <w:sz w:val="18"/>
                <w:szCs w:val="18"/>
              </w:rPr>
              <w:t>47</w:t>
            </w:r>
          </w:p>
        </w:tc>
      </w:tr>
      <w:tr w:rsidR="006C130A" w:rsidRPr="006C130A" w14:paraId="6FF69330" w14:textId="77777777" w:rsidTr="006C130A">
        <w:trPr>
          <w:trHeight w:val="288"/>
        </w:trPr>
        <w:tc>
          <w:tcPr>
            <w:tcW w:w="3024" w:type="dxa"/>
            <w:gridSpan w:val="3"/>
            <w:tcBorders>
              <w:top w:val="nil"/>
              <w:left w:val="nil"/>
              <w:right w:val="nil"/>
            </w:tcBorders>
            <w:tcMar>
              <w:top w:w="0" w:type="dxa"/>
              <w:left w:w="30" w:type="dxa"/>
              <w:bottom w:w="0" w:type="dxa"/>
              <w:right w:w="30" w:type="dxa"/>
            </w:tcMar>
            <w:hideMark/>
          </w:tcPr>
          <w:p w14:paraId="3604B3BA" w14:textId="5425FF14" w:rsidR="006C130A" w:rsidRPr="006C130A" w:rsidRDefault="006C130A" w:rsidP="006C130A">
            <w:pPr>
              <w:pStyle w:val="TableListBullet"/>
              <w:ind w:left="1104" w:right="-1005"/>
              <w:rPr>
                <w:sz w:val="18"/>
                <w:szCs w:val="18"/>
              </w:rPr>
            </w:pPr>
            <w:r w:rsidRPr="006C130A">
              <w:rPr>
                <w:sz w:val="18"/>
                <w:szCs w:val="18"/>
              </w:rPr>
              <w:t>Family requiring 4+ Bed</w:t>
            </w:r>
            <w:r w:rsidR="00684C64">
              <w:rPr>
                <w:sz w:val="18"/>
                <w:szCs w:val="18"/>
              </w:rPr>
              <w:t>:</w:t>
            </w:r>
          </w:p>
        </w:tc>
        <w:tc>
          <w:tcPr>
            <w:tcW w:w="1008" w:type="dxa"/>
            <w:tcBorders>
              <w:top w:val="nil"/>
              <w:left w:val="nil"/>
              <w:right w:val="nil"/>
            </w:tcBorders>
            <w:tcMar>
              <w:top w:w="0" w:type="dxa"/>
              <w:left w:w="30" w:type="dxa"/>
              <w:bottom w:w="0" w:type="dxa"/>
              <w:right w:w="30" w:type="dxa"/>
            </w:tcMar>
            <w:hideMark/>
          </w:tcPr>
          <w:p w14:paraId="6D6FAAC1" w14:textId="77777777" w:rsidR="006C130A" w:rsidRPr="006C130A" w:rsidRDefault="006C130A" w:rsidP="00684C64">
            <w:pPr>
              <w:pStyle w:val="TableListBullet"/>
              <w:numPr>
                <w:ilvl w:val="0"/>
                <w:numId w:val="0"/>
              </w:numPr>
              <w:ind w:right="-1005"/>
              <w:jc w:val="both"/>
              <w:rPr>
                <w:sz w:val="18"/>
                <w:szCs w:val="18"/>
              </w:rPr>
            </w:pPr>
            <w:r w:rsidRPr="006C130A">
              <w:rPr>
                <w:sz w:val="18"/>
                <w:szCs w:val="18"/>
              </w:rPr>
              <w:t>11</w:t>
            </w:r>
          </w:p>
        </w:tc>
      </w:tr>
      <w:tr w:rsidR="006C130A" w:rsidRPr="006C130A" w14:paraId="621F5D82" w14:textId="77777777" w:rsidTr="006C130A">
        <w:trPr>
          <w:trHeight w:val="302"/>
        </w:trPr>
        <w:tc>
          <w:tcPr>
            <w:tcW w:w="1008" w:type="dxa"/>
            <w:tcMar>
              <w:top w:w="0" w:type="dxa"/>
              <w:left w:w="30" w:type="dxa"/>
              <w:bottom w:w="0" w:type="dxa"/>
              <w:right w:w="30" w:type="dxa"/>
            </w:tcMar>
            <w:hideMark/>
          </w:tcPr>
          <w:p w14:paraId="617999FD" w14:textId="2D36A209" w:rsidR="006C130A" w:rsidRPr="006C130A" w:rsidRDefault="006C130A" w:rsidP="006C130A">
            <w:pPr>
              <w:pStyle w:val="TableListBullet"/>
              <w:ind w:left="1104" w:right="-1005"/>
              <w:rPr>
                <w:b/>
                <w:bCs/>
                <w:sz w:val="18"/>
                <w:szCs w:val="18"/>
              </w:rPr>
            </w:pPr>
            <w:r w:rsidRPr="006C130A">
              <w:rPr>
                <w:b/>
                <w:bCs/>
                <w:sz w:val="18"/>
                <w:szCs w:val="18"/>
              </w:rPr>
              <w:t>Total</w:t>
            </w:r>
            <w:r w:rsidR="00684C64">
              <w:rPr>
                <w:b/>
                <w:bCs/>
                <w:sz w:val="18"/>
                <w:szCs w:val="18"/>
              </w:rPr>
              <w:t>:</w:t>
            </w:r>
          </w:p>
        </w:tc>
        <w:tc>
          <w:tcPr>
            <w:tcW w:w="1008" w:type="dxa"/>
            <w:tcMar>
              <w:top w:w="0" w:type="dxa"/>
              <w:left w:w="30" w:type="dxa"/>
              <w:bottom w:w="0" w:type="dxa"/>
              <w:right w:w="30" w:type="dxa"/>
            </w:tcMar>
          </w:tcPr>
          <w:p w14:paraId="11155B00" w14:textId="77777777" w:rsidR="006C130A" w:rsidRPr="006C130A" w:rsidRDefault="006C130A" w:rsidP="006C130A">
            <w:pPr>
              <w:pStyle w:val="TableListBullet"/>
              <w:numPr>
                <w:ilvl w:val="0"/>
                <w:numId w:val="0"/>
              </w:numPr>
              <w:ind w:right="-1005"/>
              <w:rPr>
                <w:b/>
                <w:bCs/>
                <w:sz w:val="18"/>
                <w:szCs w:val="18"/>
              </w:rPr>
            </w:pPr>
          </w:p>
        </w:tc>
        <w:tc>
          <w:tcPr>
            <w:tcW w:w="1008" w:type="dxa"/>
            <w:tcMar>
              <w:top w:w="0" w:type="dxa"/>
              <w:left w:w="30" w:type="dxa"/>
              <w:bottom w:w="0" w:type="dxa"/>
              <w:right w:w="30" w:type="dxa"/>
            </w:tcMar>
          </w:tcPr>
          <w:p w14:paraId="7B50CB8A" w14:textId="77777777" w:rsidR="006C130A" w:rsidRPr="006C130A" w:rsidRDefault="006C130A" w:rsidP="006C130A">
            <w:pPr>
              <w:pStyle w:val="TableListBullet"/>
              <w:numPr>
                <w:ilvl w:val="0"/>
                <w:numId w:val="0"/>
              </w:numPr>
              <w:ind w:left="820" w:right="-1005"/>
              <w:rPr>
                <w:b/>
                <w:bCs/>
                <w:sz w:val="18"/>
                <w:szCs w:val="18"/>
              </w:rPr>
            </w:pPr>
          </w:p>
        </w:tc>
        <w:tc>
          <w:tcPr>
            <w:tcW w:w="1008" w:type="dxa"/>
            <w:tcBorders>
              <w:top w:val="nil"/>
              <w:left w:val="nil"/>
              <w:right w:val="nil"/>
            </w:tcBorders>
            <w:tcMar>
              <w:top w:w="0" w:type="dxa"/>
              <w:left w:w="30" w:type="dxa"/>
              <w:bottom w:w="0" w:type="dxa"/>
              <w:right w:w="30" w:type="dxa"/>
            </w:tcMar>
            <w:hideMark/>
          </w:tcPr>
          <w:p w14:paraId="659D6457" w14:textId="0A7BF07F" w:rsidR="006C130A" w:rsidRPr="006C130A" w:rsidRDefault="006C130A" w:rsidP="00684C64">
            <w:pPr>
              <w:pStyle w:val="TableListBullet"/>
              <w:numPr>
                <w:ilvl w:val="0"/>
                <w:numId w:val="0"/>
              </w:numPr>
              <w:spacing w:after="120"/>
              <w:ind w:right="-1005"/>
              <w:jc w:val="both"/>
              <w:rPr>
                <w:b/>
                <w:bCs/>
                <w:sz w:val="18"/>
                <w:szCs w:val="18"/>
              </w:rPr>
            </w:pPr>
            <w:r w:rsidRPr="006C130A">
              <w:rPr>
                <w:b/>
                <w:bCs/>
                <w:sz w:val="18"/>
                <w:szCs w:val="18"/>
              </w:rPr>
              <w:t>1</w:t>
            </w:r>
            <w:r w:rsidR="00BE12BE">
              <w:rPr>
                <w:b/>
                <w:bCs/>
                <w:sz w:val="18"/>
                <w:szCs w:val="18"/>
              </w:rPr>
              <w:t>,</w:t>
            </w:r>
            <w:r w:rsidRPr="006C130A">
              <w:rPr>
                <w:b/>
                <w:bCs/>
                <w:sz w:val="18"/>
                <w:szCs w:val="18"/>
              </w:rPr>
              <w:t>401</w:t>
            </w:r>
            <w:r w:rsidR="00BE12BE">
              <w:rPr>
                <w:rStyle w:val="FootnoteReference"/>
              </w:rPr>
              <w:footnoteReference w:id="31"/>
            </w:r>
          </w:p>
        </w:tc>
      </w:tr>
      <w:tr w:rsidR="006C130A" w14:paraId="6D62C603" w14:textId="77777777" w:rsidTr="006C130A">
        <w:tc>
          <w:tcPr>
            <w:tcW w:w="1005" w:type="dxa"/>
            <w:vAlign w:val="center"/>
            <w:hideMark/>
          </w:tcPr>
          <w:p w14:paraId="68532063" w14:textId="77777777" w:rsidR="006C130A" w:rsidRDefault="006C130A">
            <w:pPr>
              <w:rPr>
                <w:b/>
                <w:bCs/>
              </w:rPr>
            </w:pPr>
          </w:p>
        </w:tc>
        <w:tc>
          <w:tcPr>
            <w:tcW w:w="1005" w:type="dxa"/>
            <w:vAlign w:val="center"/>
            <w:hideMark/>
          </w:tcPr>
          <w:p w14:paraId="580E5FD6" w14:textId="77777777" w:rsidR="006C130A" w:rsidRDefault="006C130A">
            <w:pPr>
              <w:rPr>
                <w:rFonts w:ascii="Times New Roman" w:hAnsi="Times New Roman" w:cs="Times New Roman"/>
                <w:sz w:val="20"/>
                <w:szCs w:val="20"/>
              </w:rPr>
            </w:pPr>
          </w:p>
        </w:tc>
        <w:tc>
          <w:tcPr>
            <w:tcW w:w="1005" w:type="dxa"/>
            <w:vAlign w:val="center"/>
            <w:hideMark/>
          </w:tcPr>
          <w:p w14:paraId="3A7F87D5" w14:textId="77777777" w:rsidR="006C130A" w:rsidRDefault="006C130A">
            <w:pPr>
              <w:rPr>
                <w:rFonts w:ascii="Times New Roman" w:hAnsi="Times New Roman" w:cs="Times New Roman"/>
                <w:sz w:val="20"/>
                <w:szCs w:val="20"/>
              </w:rPr>
            </w:pPr>
          </w:p>
        </w:tc>
        <w:tc>
          <w:tcPr>
            <w:tcW w:w="1005" w:type="dxa"/>
            <w:vAlign w:val="center"/>
            <w:hideMark/>
          </w:tcPr>
          <w:p w14:paraId="498AD038" w14:textId="77777777" w:rsidR="006C130A" w:rsidRDefault="006C130A">
            <w:pPr>
              <w:rPr>
                <w:rFonts w:ascii="Times New Roman" w:hAnsi="Times New Roman" w:cs="Times New Roman"/>
                <w:sz w:val="20"/>
                <w:szCs w:val="20"/>
              </w:rPr>
            </w:pPr>
          </w:p>
        </w:tc>
      </w:tr>
    </w:tbl>
    <w:p w14:paraId="2ADA701C" w14:textId="3CDB6ACB" w:rsidR="003B54A1" w:rsidRDefault="00267777" w:rsidP="00A82210">
      <w:pPr>
        <w:pStyle w:val="ListNumber"/>
      </w:pPr>
      <w:r>
        <w:t>Th</w:t>
      </w:r>
      <w:r w:rsidR="00EE4B22">
        <w:t>ere are</w:t>
      </w:r>
      <w:r>
        <w:t xml:space="preserve"> therefore</w:t>
      </w:r>
      <w:r w:rsidR="00EE4B22">
        <w:t xml:space="preserve"> currently about</w:t>
      </w:r>
      <w:r w:rsidR="006C130A">
        <w:t xml:space="preserve"> 1,401</w:t>
      </w:r>
      <w:r w:rsidR="000873D7" w:rsidRPr="000873D7">
        <w:t xml:space="preserve"> househo</w:t>
      </w:r>
      <w:r w:rsidR="00EE4B22">
        <w:t xml:space="preserve">lds in </w:t>
      </w:r>
      <w:r w:rsidR="0015105E">
        <w:t>Weymouth</w:t>
      </w:r>
      <w:r w:rsidR="000873D7" w:rsidRPr="000873D7">
        <w:t xml:space="preserve"> unable to access </w:t>
      </w:r>
      <w:r w:rsidR="00EE4B22">
        <w:t>affordable</w:t>
      </w:r>
      <w:r w:rsidR="001568F4">
        <w:t xml:space="preserve"> rented homes</w:t>
      </w:r>
      <w:r w:rsidR="00EE4B22">
        <w:t xml:space="preserve"> </w:t>
      </w:r>
      <w:r w:rsidR="000873D7" w:rsidRPr="000873D7">
        <w:t>suitable to their needs.</w:t>
      </w:r>
      <w:r w:rsidR="006C130A">
        <w:t xml:space="preserve"> </w:t>
      </w:r>
      <w:r w:rsidR="00BE12BE">
        <w:t xml:space="preserve">Based on household projections, current levels of social renting and housing benefits in the area, a further number of households will </w:t>
      </w:r>
      <w:r w:rsidR="000873D7" w:rsidRPr="000873D7">
        <w:t>fall into need</w:t>
      </w:r>
      <w:r w:rsidR="009B781A">
        <w:t xml:space="preserve"> per year</w:t>
      </w:r>
      <w:r w:rsidR="00BE12BE">
        <w:t xml:space="preserve"> over the plan period</w:t>
      </w:r>
      <w:r w:rsidR="009B781A">
        <w:t xml:space="preserve">. </w:t>
      </w:r>
      <w:r w:rsidR="003B54A1">
        <w:t>A proportion of</w:t>
      </w:r>
      <w:r w:rsidR="00BE12BE">
        <w:t xml:space="preserve"> this need will be housed in local affordable housing relets. While the local stock of affordable housing</w:t>
      </w:r>
      <w:r w:rsidR="00514986">
        <w:t xml:space="preserve"> in the area</w:t>
      </w:r>
      <w:r w:rsidR="00BE12BE">
        <w:t xml:space="preserve"> is reasonably ample, not all </w:t>
      </w:r>
      <w:r w:rsidR="00514986">
        <w:t xml:space="preserve">of the large number of </w:t>
      </w:r>
      <w:r w:rsidR="00BE12BE">
        <w:t xml:space="preserve">households currently </w:t>
      </w:r>
      <w:r w:rsidR="00514986">
        <w:t xml:space="preserve">showing as </w:t>
      </w:r>
      <w:r w:rsidR="00BE12BE">
        <w:t xml:space="preserve">in need of social / affordable renting and </w:t>
      </w:r>
      <w:r w:rsidR="00514986">
        <w:t xml:space="preserve">likely to </w:t>
      </w:r>
      <w:r w:rsidR="00BE12BE">
        <w:t xml:space="preserve">fall into need over the </w:t>
      </w:r>
      <w:r w:rsidR="0030691D">
        <w:t xml:space="preserve"> </w:t>
      </w:r>
      <w:r w:rsidR="00BE12BE">
        <w:t xml:space="preserve">plan period are likely to be housed through re-lets. </w:t>
      </w:r>
    </w:p>
    <w:p w14:paraId="005AE839" w14:textId="1026FD5E" w:rsidR="000873D7" w:rsidRDefault="003B54A1" w:rsidP="00A82210">
      <w:pPr>
        <w:pStyle w:val="ListNumber"/>
      </w:pPr>
      <w:r>
        <w:t>Based on the detailed geographies used by the SHMA, on the fact that its analysis includes need for rented as well as for sale affordable housing, and that its assumptions tally with the more recent data used in our HNA, w</w:t>
      </w:r>
      <w:r w:rsidR="00BE12BE">
        <w:t>e therefore believe the estimate of affordable housing need for rent prorated from the SHMA to be reasonable.</w:t>
      </w:r>
    </w:p>
    <w:p w14:paraId="383DA2B5" w14:textId="47308CDF" w:rsidR="00BE12BE" w:rsidRDefault="00BE12BE" w:rsidP="00A82210">
      <w:pPr>
        <w:pStyle w:val="ListNumber"/>
      </w:pPr>
      <w:r>
        <w:t xml:space="preserve">AECOM have furthermore looked at more up to date information to check against the affordable housing for sale estimates in the SHMA. </w:t>
      </w:r>
      <w:r w:rsidR="00AF5895" w:rsidRPr="000873D7">
        <w:fldChar w:fldCharType="begin"/>
      </w:r>
      <w:r w:rsidR="00AF5895" w:rsidRPr="000873D7">
        <w:instrText xml:space="preserve"> REF _Ref5217836 \h  \* MERGEFORMAT </w:instrText>
      </w:r>
      <w:r w:rsidR="00AF5895" w:rsidRPr="000873D7">
        <w:fldChar w:fldCharType="separate"/>
      </w:r>
      <w:r w:rsidR="00AF5895">
        <w:rPr>
          <w:noProof/>
        </w:rPr>
        <w:t>Table</w:t>
      </w:r>
      <w:r w:rsidR="00AF5895" w:rsidRPr="000873D7">
        <w:fldChar w:fldCharType="end"/>
      </w:r>
      <w:r w:rsidR="00AF5895">
        <w:t xml:space="preserve"> 4-</w:t>
      </w:r>
      <w:r w:rsidR="00603781">
        <w:t>6</w:t>
      </w:r>
      <w:r w:rsidR="001568F4" w:rsidRPr="004D4868">
        <w:t xml:space="preserve"> </w:t>
      </w:r>
      <w:r w:rsidR="00210122">
        <w:t>below makes a</w:t>
      </w:r>
      <w:r>
        <w:t>n</w:t>
      </w:r>
      <w:r w:rsidR="00210122">
        <w:t xml:space="preserve"> estimate of</w:t>
      </w:r>
      <w:r w:rsidR="001568F4" w:rsidRPr="004D4868">
        <w:t xml:space="preserve"> potential demand for affordable home ownership products within </w:t>
      </w:r>
      <w:r w:rsidR="00AF5895">
        <w:t>Weymouth</w:t>
      </w:r>
      <w:r>
        <w:t xml:space="preserve">, based on the percentage of renters in the </w:t>
      </w:r>
      <w:r w:rsidR="00840C40">
        <w:t>NA</w:t>
      </w:r>
      <w:r>
        <w:t>, and the assumption that a majority of these are likely to have aspirations of homeownership</w:t>
      </w:r>
      <w:r w:rsidR="001568F4" w:rsidRPr="004D4868">
        <w:t xml:space="preserve">. </w:t>
      </w:r>
    </w:p>
    <w:p w14:paraId="22F91634" w14:textId="79791202" w:rsidR="00514986" w:rsidRDefault="001568F4" w:rsidP="00A82210">
      <w:pPr>
        <w:pStyle w:val="ListNumber"/>
      </w:pPr>
      <w:r w:rsidRPr="004D4868">
        <w:t xml:space="preserve">This estimate broadly counts households living in the private rented sector (PRS) who are not on housing benefit and new households likely to form over the plan period who are likely to enter the private rented sector (but not require housing benefit). The model aims to estimate the number of households who can rent but can’t buy on the basis of their incomes. There may be other barriers to these households accessing home ownership on the open market, including being unable to save for a deposit, or being unable to afford a home of the right type/size or in the right location. The model discounts 25% of these households, assuming a proportion will be renting out of choice. This leaves </w:t>
      </w:r>
      <w:r w:rsidR="00287706">
        <w:t xml:space="preserve">an estimate of as many as </w:t>
      </w:r>
      <w:r w:rsidR="00210122">
        <w:t>161</w:t>
      </w:r>
      <w:r w:rsidRPr="004D4868">
        <w:t xml:space="preserve"> household per annum</w:t>
      </w:r>
      <w:r w:rsidR="00287706">
        <w:t xml:space="preserve"> in Weymouth</w:t>
      </w:r>
      <w:r w:rsidRPr="004D4868">
        <w:t xml:space="preserve"> who may be interested in affordable home ownership (</w:t>
      </w:r>
      <w:r w:rsidR="00210122">
        <w:t>2,649</w:t>
      </w:r>
      <w:r w:rsidRPr="004D4868">
        <w:t xml:space="preserve"> over the plan period). </w:t>
      </w:r>
      <w:r w:rsidR="00210122">
        <w:t>Therefore, this results in a</w:t>
      </w:r>
      <w:r w:rsidR="00514986">
        <w:t xml:space="preserve"> significantly</w:t>
      </w:r>
      <w:r w:rsidR="00210122">
        <w:t xml:space="preserve"> higher need estimated for affordable housing for sale</w:t>
      </w:r>
      <w:r w:rsidR="00514986">
        <w:t xml:space="preserve"> (161 units per year)</w:t>
      </w:r>
      <w:r w:rsidR="00210122">
        <w:t xml:space="preserve"> than the 2014 SHMA prorated figure</w:t>
      </w:r>
      <w:r w:rsidR="00514986">
        <w:t xml:space="preserve"> (</w:t>
      </w:r>
      <w:r w:rsidR="00287706">
        <w:t>30 units per year</w:t>
      </w:r>
      <w:r w:rsidR="00514986">
        <w:t>)</w:t>
      </w:r>
      <w:r w:rsidR="00287706">
        <w:t>. This higher figure represents the potential</w:t>
      </w:r>
      <w:r w:rsidR="00171B70">
        <w:t xml:space="preserve"> upper extent of</w:t>
      </w:r>
      <w:bookmarkStart w:id="109" w:name="_Hlk67570576"/>
      <w:r w:rsidR="00171B70">
        <w:t xml:space="preserve"> </w:t>
      </w:r>
      <w:r w:rsidR="00287706">
        <w:t>households in Weymouth who are likely to be renting but would prefer to buy their own home if they could.</w:t>
      </w:r>
      <w:r w:rsidR="00514986">
        <w:t xml:space="preserve"> </w:t>
      </w:r>
    </w:p>
    <w:bookmarkEnd w:id="109"/>
    <w:p w14:paraId="2BF6A9D7" w14:textId="37688DDF" w:rsidR="001568F4" w:rsidRDefault="00514986" w:rsidP="00A82210">
      <w:pPr>
        <w:pStyle w:val="ListNumber"/>
      </w:pPr>
      <w:r>
        <w:t xml:space="preserve">The reason that this number is considerably higher than that in the SHMA is because it is based on the substantial number of renters and the low number of intermediate housing units in Weymouth, rather than primarily on a proportion of the housing waiting list data. It is assumed that many households able to rent privately but not able to buy are unlikely to be on the local authority’s affordable housing waiting list. </w:t>
      </w:r>
    </w:p>
    <w:p w14:paraId="0E4D31CB" w14:textId="60C8A0E2" w:rsidR="001568F4" w:rsidRPr="0086098E" w:rsidRDefault="00AF5895" w:rsidP="00AF5895">
      <w:pPr>
        <w:pStyle w:val="Caption"/>
      </w:pPr>
      <w:bookmarkStart w:id="110" w:name="_Ref5217836"/>
      <w:r>
        <w:t xml:space="preserve">Table </w:t>
      </w:r>
      <w:r w:rsidR="00D72010">
        <w:fldChar w:fldCharType="begin"/>
      </w:r>
      <w:r w:rsidR="00D72010">
        <w:instrText xml:space="preserve"> STYLEREF 1 \s </w:instrText>
      </w:r>
      <w:r w:rsidR="00D72010">
        <w:fldChar w:fldCharType="separate"/>
      </w:r>
      <w:r w:rsidR="00BA4C32">
        <w:rPr>
          <w:noProof/>
        </w:rPr>
        <w:t>4</w:t>
      </w:r>
      <w:r w:rsidR="00D72010">
        <w:rPr>
          <w:noProof/>
        </w:rPr>
        <w:fldChar w:fldCharType="end"/>
      </w:r>
      <w:r w:rsidR="00BA4C32">
        <w:noBreakHyphen/>
      </w:r>
      <w:r w:rsidR="00D72010">
        <w:fldChar w:fldCharType="begin"/>
      </w:r>
      <w:r w:rsidR="00D72010">
        <w:instrText xml:space="preserve"> SEQ Table \* ARABIC \s 1 </w:instrText>
      </w:r>
      <w:r w:rsidR="00D72010">
        <w:fldChar w:fldCharType="separate"/>
      </w:r>
      <w:r w:rsidR="00603781">
        <w:rPr>
          <w:noProof/>
        </w:rPr>
        <w:t>6</w:t>
      </w:r>
      <w:r w:rsidR="00D72010">
        <w:rPr>
          <w:noProof/>
        </w:rPr>
        <w:fldChar w:fldCharType="end"/>
      </w:r>
      <w:r w:rsidR="001568F4" w:rsidRPr="0086098E">
        <w:t xml:space="preserve">: Estimate of the potential demand for affordable housing for sale in </w:t>
      </w:r>
      <w:r w:rsidR="00210122">
        <w:t>Weymouth</w:t>
      </w:r>
    </w:p>
    <w:tbl>
      <w:tblPr>
        <w:tblW w:w="9922" w:type="dxa"/>
        <w:tblInd w:w="421" w:type="dxa"/>
        <w:tblLook w:val="04A0" w:firstRow="1" w:lastRow="0" w:firstColumn="1" w:lastColumn="0" w:noHBand="0" w:noVBand="1"/>
      </w:tblPr>
      <w:tblGrid>
        <w:gridCol w:w="4252"/>
        <w:gridCol w:w="992"/>
        <w:gridCol w:w="4678"/>
      </w:tblGrid>
      <w:tr w:rsidR="00210122" w:rsidRPr="00210122" w14:paraId="18A6E94F" w14:textId="77777777" w:rsidTr="00210122">
        <w:trPr>
          <w:trHeight w:val="285"/>
        </w:trPr>
        <w:tc>
          <w:tcPr>
            <w:tcW w:w="4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34D0EC"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Stage and Step in Calculation</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773FA75A"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Total</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14:paraId="60041BAF"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Description</w:t>
            </w:r>
          </w:p>
        </w:tc>
      </w:tr>
      <w:tr w:rsidR="00210122" w:rsidRPr="00210122" w14:paraId="0668A20C" w14:textId="77777777" w:rsidTr="00210122">
        <w:trPr>
          <w:trHeight w:val="285"/>
        </w:trPr>
        <w:tc>
          <w:tcPr>
            <w:tcW w:w="9922"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6514248"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STAGE 1: CURRENT NEED</w:t>
            </w:r>
          </w:p>
        </w:tc>
      </w:tr>
      <w:tr w:rsidR="00210122" w:rsidRPr="00210122" w14:paraId="009F32AF" w14:textId="77777777" w:rsidTr="00210122">
        <w:trPr>
          <w:trHeight w:val="282"/>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771D4A52"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1.1 Current number of renters in NA</w:t>
            </w:r>
          </w:p>
        </w:tc>
        <w:tc>
          <w:tcPr>
            <w:tcW w:w="992" w:type="dxa"/>
            <w:tcBorders>
              <w:top w:val="nil"/>
              <w:left w:val="nil"/>
              <w:bottom w:val="single" w:sz="4" w:space="0" w:color="auto"/>
              <w:right w:val="single" w:sz="4" w:space="0" w:color="auto"/>
            </w:tcBorders>
            <w:shd w:val="clear" w:color="000000" w:fill="FFFFFF"/>
            <w:vAlign w:val="center"/>
            <w:hideMark/>
          </w:tcPr>
          <w:p w14:paraId="39B9332F" w14:textId="77777777" w:rsidR="00210122" w:rsidRPr="00210122" w:rsidRDefault="00210122" w:rsidP="00210122">
            <w:pPr>
              <w:spacing w:before="0" w:after="0" w:line="240" w:lineRule="auto"/>
              <w:jc w:val="center"/>
              <w:rPr>
                <w:rFonts w:asciiTheme="minorHAnsi" w:hAnsiTheme="minorHAnsi" w:cstheme="minorHAnsi"/>
                <w:sz w:val="18"/>
                <w:szCs w:val="18"/>
              </w:rPr>
            </w:pPr>
            <w:r w:rsidRPr="00210122">
              <w:rPr>
                <w:rFonts w:asciiTheme="minorHAnsi" w:hAnsiTheme="minorHAnsi" w:cstheme="minorHAnsi"/>
                <w:sz w:val="18"/>
                <w:szCs w:val="18"/>
              </w:rPr>
              <w:t>5116.1</w:t>
            </w:r>
          </w:p>
        </w:tc>
        <w:tc>
          <w:tcPr>
            <w:tcW w:w="4678" w:type="dxa"/>
            <w:tcBorders>
              <w:top w:val="nil"/>
              <w:left w:val="nil"/>
              <w:bottom w:val="single" w:sz="4" w:space="0" w:color="auto"/>
              <w:right w:val="single" w:sz="4" w:space="0" w:color="auto"/>
            </w:tcBorders>
            <w:shd w:val="clear" w:color="000000" w:fill="FFFFFF"/>
            <w:noWrap/>
            <w:vAlign w:val="center"/>
            <w:hideMark/>
          </w:tcPr>
          <w:p w14:paraId="10ED749C"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Census 2011 number of renters * national % increase to 2018</w:t>
            </w:r>
          </w:p>
        </w:tc>
      </w:tr>
      <w:tr w:rsidR="00210122" w:rsidRPr="00210122" w14:paraId="7785B1DE" w14:textId="77777777" w:rsidTr="00210122">
        <w:trPr>
          <w:trHeight w:val="285"/>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766804EA"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1.2 Percentage renters on housing benefit in LA</w:t>
            </w:r>
          </w:p>
        </w:tc>
        <w:tc>
          <w:tcPr>
            <w:tcW w:w="992" w:type="dxa"/>
            <w:tcBorders>
              <w:top w:val="nil"/>
              <w:left w:val="nil"/>
              <w:bottom w:val="single" w:sz="4" w:space="0" w:color="auto"/>
              <w:right w:val="single" w:sz="4" w:space="0" w:color="auto"/>
            </w:tcBorders>
            <w:shd w:val="clear" w:color="000000" w:fill="FFFFFF"/>
            <w:noWrap/>
            <w:vAlign w:val="center"/>
            <w:hideMark/>
          </w:tcPr>
          <w:p w14:paraId="0F917EB2" w14:textId="77777777" w:rsidR="00210122" w:rsidRPr="00210122" w:rsidRDefault="00210122" w:rsidP="00210122">
            <w:pPr>
              <w:spacing w:before="0" w:after="0" w:line="240" w:lineRule="auto"/>
              <w:jc w:val="center"/>
              <w:rPr>
                <w:rFonts w:asciiTheme="minorHAnsi" w:hAnsiTheme="minorHAnsi" w:cstheme="minorHAnsi"/>
                <w:sz w:val="18"/>
                <w:szCs w:val="18"/>
              </w:rPr>
            </w:pPr>
            <w:r w:rsidRPr="00210122">
              <w:rPr>
                <w:rFonts w:asciiTheme="minorHAnsi" w:hAnsiTheme="minorHAnsi" w:cstheme="minorHAnsi"/>
                <w:sz w:val="18"/>
                <w:szCs w:val="18"/>
              </w:rPr>
              <w:t>35.7%</w:t>
            </w:r>
          </w:p>
        </w:tc>
        <w:tc>
          <w:tcPr>
            <w:tcW w:w="4678" w:type="dxa"/>
            <w:tcBorders>
              <w:top w:val="nil"/>
              <w:left w:val="nil"/>
              <w:bottom w:val="single" w:sz="4" w:space="0" w:color="auto"/>
              <w:right w:val="single" w:sz="4" w:space="0" w:color="auto"/>
            </w:tcBorders>
            <w:shd w:val="clear" w:color="000000" w:fill="FFFFFF"/>
            <w:noWrap/>
            <w:vAlign w:val="center"/>
            <w:hideMark/>
          </w:tcPr>
          <w:p w14:paraId="5BB63114"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 of renters in 2018 on housing benefit</w:t>
            </w:r>
          </w:p>
        </w:tc>
      </w:tr>
      <w:tr w:rsidR="00210122" w:rsidRPr="00210122" w14:paraId="521046B6" w14:textId="77777777" w:rsidTr="00210122">
        <w:trPr>
          <w:trHeight w:val="285"/>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5F05772D"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1.3 Number of renters on housing benefits in NA</w:t>
            </w:r>
          </w:p>
        </w:tc>
        <w:tc>
          <w:tcPr>
            <w:tcW w:w="992" w:type="dxa"/>
            <w:tcBorders>
              <w:top w:val="nil"/>
              <w:left w:val="nil"/>
              <w:bottom w:val="single" w:sz="4" w:space="0" w:color="auto"/>
              <w:right w:val="single" w:sz="4" w:space="0" w:color="auto"/>
            </w:tcBorders>
            <w:shd w:val="clear" w:color="000000" w:fill="FFFFFF"/>
            <w:vAlign w:val="center"/>
            <w:hideMark/>
          </w:tcPr>
          <w:p w14:paraId="6FB9D7FB" w14:textId="77777777" w:rsidR="00210122" w:rsidRPr="00210122" w:rsidRDefault="00210122" w:rsidP="00210122">
            <w:pPr>
              <w:spacing w:before="0" w:after="0" w:line="240" w:lineRule="auto"/>
              <w:jc w:val="center"/>
              <w:rPr>
                <w:rFonts w:asciiTheme="minorHAnsi" w:hAnsiTheme="minorHAnsi" w:cstheme="minorHAnsi"/>
                <w:sz w:val="18"/>
                <w:szCs w:val="18"/>
              </w:rPr>
            </w:pPr>
            <w:r w:rsidRPr="00210122">
              <w:rPr>
                <w:rFonts w:asciiTheme="minorHAnsi" w:hAnsiTheme="minorHAnsi" w:cstheme="minorHAnsi"/>
                <w:sz w:val="18"/>
                <w:szCs w:val="18"/>
              </w:rPr>
              <w:t>1828</w:t>
            </w:r>
          </w:p>
        </w:tc>
        <w:tc>
          <w:tcPr>
            <w:tcW w:w="4678" w:type="dxa"/>
            <w:tcBorders>
              <w:top w:val="nil"/>
              <w:left w:val="nil"/>
              <w:bottom w:val="single" w:sz="4" w:space="0" w:color="auto"/>
              <w:right w:val="single" w:sz="4" w:space="0" w:color="auto"/>
            </w:tcBorders>
            <w:shd w:val="clear" w:color="000000" w:fill="FFFFFF"/>
            <w:noWrap/>
            <w:vAlign w:val="center"/>
            <w:hideMark/>
          </w:tcPr>
          <w:p w14:paraId="479FA1D5"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Step 1.1 * Step 1.2</w:t>
            </w:r>
          </w:p>
        </w:tc>
      </w:tr>
      <w:tr w:rsidR="00210122" w:rsidRPr="00210122" w14:paraId="5AF1608E" w14:textId="77777777" w:rsidTr="00210122">
        <w:trPr>
          <w:trHeight w:val="396"/>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5575A841"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1.4 Current need (households)</w:t>
            </w:r>
          </w:p>
        </w:tc>
        <w:tc>
          <w:tcPr>
            <w:tcW w:w="992" w:type="dxa"/>
            <w:tcBorders>
              <w:top w:val="nil"/>
              <w:left w:val="nil"/>
              <w:bottom w:val="single" w:sz="4" w:space="0" w:color="auto"/>
              <w:right w:val="single" w:sz="4" w:space="0" w:color="auto"/>
            </w:tcBorders>
            <w:shd w:val="clear" w:color="000000" w:fill="FFFFFF"/>
            <w:vAlign w:val="center"/>
            <w:hideMark/>
          </w:tcPr>
          <w:p w14:paraId="1DC4B449" w14:textId="77777777" w:rsidR="00210122" w:rsidRPr="00210122" w:rsidRDefault="00210122" w:rsidP="00210122">
            <w:pPr>
              <w:spacing w:before="0" w:after="0" w:line="240" w:lineRule="auto"/>
              <w:jc w:val="center"/>
              <w:rPr>
                <w:rFonts w:asciiTheme="minorHAnsi" w:hAnsiTheme="minorHAnsi" w:cstheme="minorHAnsi"/>
                <w:sz w:val="18"/>
                <w:szCs w:val="18"/>
              </w:rPr>
            </w:pPr>
            <w:r w:rsidRPr="00210122">
              <w:rPr>
                <w:rFonts w:asciiTheme="minorHAnsi" w:hAnsiTheme="minorHAnsi" w:cstheme="minorHAnsi"/>
                <w:sz w:val="18"/>
                <w:szCs w:val="18"/>
              </w:rPr>
              <w:t>2465.8</w:t>
            </w:r>
          </w:p>
        </w:tc>
        <w:tc>
          <w:tcPr>
            <w:tcW w:w="4678" w:type="dxa"/>
            <w:tcBorders>
              <w:top w:val="nil"/>
              <w:left w:val="nil"/>
              <w:bottom w:val="single" w:sz="4" w:space="0" w:color="auto"/>
              <w:right w:val="single" w:sz="4" w:space="0" w:color="auto"/>
            </w:tcBorders>
            <w:shd w:val="clear" w:color="000000" w:fill="FFFFFF"/>
            <w:noWrap/>
            <w:vAlign w:val="center"/>
            <w:hideMark/>
          </w:tcPr>
          <w:p w14:paraId="1E4512DD"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Current renters minus those on HB and minus 25% assumed to rent by choice</w:t>
            </w:r>
          </w:p>
        </w:tc>
      </w:tr>
      <w:tr w:rsidR="00210122" w:rsidRPr="00210122" w14:paraId="45646562" w14:textId="77777777" w:rsidTr="00210122">
        <w:trPr>
          <w:trHeight w:val="570"/>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7912113B"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1.5 Per annum</w:t>
            </w:r>
          </w:p>
        </w:tc>
        <w:tc>
          <w:tcPr>
            <w:tcW w:w="992" w:type="dxa"/>
            <w:tcBorders>
              <w:top w:val="nil"/>
              <w:left w:val="nil"/>
              <w:bottom w:val="single" w:sz="4" w:space="0" w:color="auto"/>
              <w:right w:val="single" w:sz="4" w:space="0" w:color="auto"/>
            </w:tcBorders>
            <w:shd w:val="clear" w:color="000000" w:fill="FFFFFF"/>
            <w:vAlign w:val="center"/>
            <w:hideMark/>
          </w:tcPr>
          <w:p w14:paraId="452C08FB" w14:textId="77777777" w:rsidR="00210122" w:rsidRPr="00210122" w:rsidRDefault="00210122" w:rsidP="00210122">
            <w:pPr>
              <w:spacing w:before="0" w:after="0" w:line="240" w:lineRule="auto"/>
              <w:jc w:val="center"/>
              <w:rPr>
                <w:rFonts w:asciiTheme="minorHAnsi" w:hAnsiTheme="minorHAnsi" w:cstheme="minorHAnsi"/>
                <w:b/>
                <w:bCs/>
                <w:sz w:val="18"/>
                <w:szCs w:val="18"/>
              </w:rPr>
            </w:pPr>
            <w:r w:rsidRPr="00210122">
              <w:rPr>
                <w:rFonts w:asciiTheme="minorHAnsi" w:hAnsiTheme="minorHAnsi" w:cstheme="minorHAnsi"/>
                <w:b/>
                <w:bCs/>
                <w:sz w:val="18"/>
                <w:szCs w:val="18"/>
              </w:rPr>
              <w:t>145.0</w:t>
            </w:r>
          </w:p>
        </w:tc>
        <w:tc>
          <w:tcPr>
            <w:tcW w:w="4678" w:type="dxa"/>
            <w:tcBorders>
              <w:top w:val="nil"/>
              <w:left w:val="nil"/>
              <w:bottom w:val="single" w:sz="4" w:space="0" w:color="auto"/>
              <w:right w:val="single" w:sz="4" w:space="0" w:color="auto"/>
            </w:tcBorders>
            <w:shd w:val="clear" w:color="000000" w:fill="FFFFFF"/>
            <w:noWrap/>
            <w:vAlign w:val="center"/>
            <w:hideMark/>
          </w:tcPr>
          <w:p w14:paraId="45616B76"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Step 1.4 divided by plan period</w:t>
            </w:r>
          </w:p>
        </w:tc>
      </w:tr>
      <w:tr w:rsidR="00210122" w:rsidRPr="00210122" w14:paraId="28ACB808" w14:textId="77777777" w:rsidTr="00210122">
        <w:trPr>
          <w:trHeight w:val="297"/>
        </w:trPr>
        <w:tc>
          <w:tcPr>
            <w:tcW w:w="4252" w:type="dxa"/>
            <w:tcBorders>
              <w:top w:val="nil"/>
              <w:left w:val="single" w:sz="4" w:space="0" w:color="auto"/>
              <w:bottom w:val="single" w:sz="4" w:space="0" w:color="auto"/>
              <w:right w:val="nil"/>
            </w:tcBorders>
            <w:shd w:val="clear" w:color="000000" w:fill="FFFFFF"/>
            <w:noWrap/>
            <w:vAlign w:val="bottom"/>
            <w:hideMark/>
          </w:tcPr>
          <w:p w14:paraId="37924070"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STAGE 2: NEWLY ARISING NEED</w:t>
            </w:r>
          </w:p>
        </w:tc>
        <w:tc>
          <w:tcPr>
            <w:tcW w:w="992" w:type="dxa"/>
            <w:tcBorders>
              <w:top w:val="nil"/>
              <w:left w:val="nil"/>
              <w:bottom w:val="single" w:sz="4" w:space="0" w:color="auto"/>
              <w:right w:val="nil"/>
            </w:tcBorders>
            <w:shd w:val="clear" w:color="000000" w:fill="FFFFFF"/>
            <w:noWrap/>
            <w:vAlign w:val="center"/>
            <w:hideMark/>
          </w:tcPr>
          <w:p w14:paraId="00BEC861"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 </w:t>
            </w:r>
          </w:p>
        </w:tc>
        <w:tc>
          <w:tcPr>
            <w:tcW w:w="4678" w:type="dxa"/>
            <w:tcBorders>
              <w:top w:val="nil"/>
              <w:left w:val="nil"/>
              <w:bottom w:val="single" w:sz="4" w:space="0" w:color="auto"/>
              <w:right w:val="single" w:sz="4" w:space="0" w:color="auto"/>
            </w:tcBorders>
            <w:shd w:val="clear" w:color="000000" w:fill="FFFFFF"/>
            <w:noWrap/>
            <w:vAlign w:val="center"/>
            <w:hideMark/>
          </w:tcPr>
          <w:p w14:paraId="3219F3DA"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 </w:t>
            </w:r>
          </w:p>
        </w:tc>
      </w:tr>
      <w:tr w:rsidR="00210122" w:rsidRPr="00210122" w14:paraId="099FF8B0" w14:textId="77777777" w:rsidTr="00210122">
        <w:trPr>
          <w:trHeight w:val="297"/>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051CD4FA"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2.1 New household formation</w:t>
            </w:r>
          </w:p>
        </w:tc>
        <w:tc>
          <w:tcPr>
            <w:tcW w:w="992" w:type="dxa"/>
            <w:tcBorders>
              <w:top w:val="nil"/>
              <w:left w:val="nil"/>
              <w:bottom w:val="single" w:sz="4" w:space="0" w:color="auto"/>
              <w:right w:val="single" w:sz="4" w:space="0" w:color="auto"/>
            </w:tcBorders>
            <w:shd w:val="clear" w:color="000000" w:fill="FFFFFF"/>
            <w:vAlign w:val="center"/>
            <w:hideMark/>
          </w:tcPr>
          <w:p w14:paraId="3E233048" w14:textId="77777777" w:rsidR="00210122" w:rsidRPr="00210122" w:rsidRDefault="00210122" w:rsidP="00210122">
            <w:pPr>
              <w:spacing w:before="0" w:after="0" w:line="240" w:lineRule="auto"/>
              <w:jc w:val="center"/>
              <w:rPr>
                <w:rFonts w:asciiTheme="minorHAnsi" w:hAnsiTheme="minorHAnsi" w:cstheme="minorHAnsi"/>
                <w:sz w:val="18"/>
                <w:szCs w:val="18"/>
              </w:rPr>
            </w:pPr>
            <w:r w:rsidRPr="00210122">
              <w:rPr>
                <w:rFonts w:asciiTheme="minorHAnsi" w:hAnsiTheme="minorHAnsi" w:cstheme="minorHAnsi"/>
                <w:sz w:val="18"/>
                <w:szCs w:val="18"/>
              </w:rPr>
              <w:t>451.5</w:t>
            </w:r>
          </w:p>
        </w:tc>
        <w:tc>
          <w:tcPr>
            <w:tcW w:w="4678" w:type="dxa"/>
            <w:tcBorders>
              <w:top w:val="nil"/>
              <w:left w:val="nil"/>
              <w:bottom w:val="single" w:sz="4" w:space="0" w:color="auto"/>
              <w:right w:val="single" w:sz="4" w:space="0" w:color="auto"/>
            </w:tcBorders>
            <w:shd w:val="clear" w:color="000000" w:fill="FFFFFF"/>
            <w:noWrap/>
            <w:vAlign w:val="center"/>
            <w:hideMark/>
          </w:tcPr>
          <w:p w14:paraId="670017DA"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LA household projections for plan period (2018 based) pro rated to NA</w:t>
            </w:r>
          </w:p>
        </w:tc>
      </w:tr>
      <w:tr w:rsidR="00210122" w:rsidRPr="00210122" w14:paraId="31529D85" w14:textId="77777777" w:rsidTr="00210122">
        <w:trPr>
          <w:trHeight w:val="285"/>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59144064"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2.2 % of households unable to buy but able to rent</w:t>
            </w:r>
          </w:p>
        </w:tc>
        <w:tc>
          <w:tcPr>
            <w:tcW w:w="992" w:type="dxa"/>
            <w:tcBorders>
              <w:top w:val="nil"/>
              <w:left w:val="nil"/>
              <w:bottom w:val="single" w:sz="4" w:space="0" w:color="auto"/>
              <w:right w:val="single" w:sz="4" w:space="0" w:color="auto"/>
            </w:tcBorders>
            <w:shd w:val="clear" w:color="000000" w:fill="FFFFFF"/>
            <w:noWrap/>
            <w:vAlign w:val="center"/>
            <w:hideMark/>
          </w:tcPr>
          <w:p w14:paraId="78F72EF7" w14:textId="77777777" w:rsidR="00210122" w:rsidRPr="00210122" w:rsidRDefault="00210122" w:rsidP="00210122">
            <w:pPr>
              <w:spacing w:before="0" w:after="0" w:line="240" w:lineRule="auto"/>
              <w:jc w:val="center"/>
              <w:rPr>
                <w:rFonts w:asciiTheme="minorHAnsi" w:hAnsiTheme="minorHAnsi" w:cstheme="minorHAnsi"/>
                <w:sz w:val="18"/>
                <w:szCs w:val="18"/>
              </w:rPr>
            </w:pPr>
            <w:r w:rsidRPr="00210122">
              <w:rPr>
                <w:rFonts w:asciiTheme="minorHAnsi" w:hAnsiTheme="minorHAnsi" w:cstheme="minorHAnsi"/>
                <w:sz w:val="18"/>
                <w:szCs w:val="18"/>
              </w:rPr>
              <w:t>66.2%</w:t>
            </w:r>
          </w:p>
        </w:tc>
        <w:tc>
          <w:tcPr>
            <w:tcW w:w="4678" w:type="dxa"/>
            <w:tcBorders>
              <w:top w:val="nil"/>
              <w:left w:val="nil"/>
              <w:bottom w:val="single" w:sz="4" w:space="0" w:color="auto"/>
              <w:right w:val="single" w:sz="4" w:space="0" w:color="auto"/>
            </w:tcBorders>
            <w:shd w:val="clear" w:color="000000" w:fill="FFFFFF"/>
            <w:noWrap/>
            <w:vAlign w:val="center"/>
            <w:hideMark/>
          </w:tcPr>
          <w:p w14:paraId="3DD1B67D" w14:textId="20113D6A"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(Step 1.4 + Step 3.1) divided by number of households in NA estimated in 2020</w:t>
            </w:r>
          </w:p>
        </w:tc>
      </w:tr>
      <w:tr w:rsidR="00210122" w:rsidRPr="00210122" w14:paraId="30C36CF1" w14:textId="77777777" w:rsidTr="00210122">
        <w:trPr>
          <w:trHeight w:val="285"/>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4971D56D"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2.3 Total newly arising need</w:t>
            </w:r>
          </w:p>
        </w:tc>
        <w:tc>
          <w:tcPr>
            <w:tcW w:w="992" w:type="dxa"/>
            <w:tcBorders>
              <w:top w:val="nil"/>
              <w:left w:val="nil"/>
              <w:bottom w:val="single" w:sz="4" w:space="0" w:color="auto"/>
              <w:right w:val="single" w:sz="4" w:space="0" w:color="auto"/>
            </w:tcBorders>
            <w:shd w:val="clear" w:color="000000" w:fill="FFFFFF"/>
            <w:vAlign w:val="center"/>
            <w:hideMark/>
          </w:tcPr>
          <w:p w14:paraId="2F1595D5" w14:textId="77777777" w:rsidR="00210122" w:rsidRPr="00210122" w:rsidRDefault="00210122" w:rsidP="00210122">
            <w:pPr>
              <w:spacing w:before="0" w:after="0" w:line="240" w:lineRule="auto"/>
              <w:jc w:val="center"/>
              <w:rPr>
                <w:rFonts w:asciiTheme="minorHAnsi" w:hAnsiTheme="minorHAnsi" w:cstheme="minorHAnsi"/>
                <w:sz w:val="18"/>
                <w:szCs w:val="18"/>
              </w:rPr>
            </w:pPr>
            <w:r w:rsidRPr="00210122">
              <w:rPr>
                <w:rFonts w:asciiTheme="minorHAnsi" w:hAnsiTheme="minorHAnsi" w:cstheme="minorHAnsi"/>
                <w:sz w:val="18"/>
                <w:szCs w:val="18"/>
              </w:rPr>
              <w:t>299.0</w:t>
            </w:r>
          </w:p>
        </w:tc>
        <w:tc>
          <w:tcPr>
            <w:tcW w:w="4678" w:type="dxa"/>
            <w:tcBorders>
              <w:top w:val="nil"/>
              <w:left w:val="nil"/>
              <w:bottom w:val="single" w:sz="4" w:space="0" w:color="auto"/>
              <w:right w:val="single" w:sz="4" w:space="0" w:color="auto"/>
            </w:tcBorders>
            <w:shd w:val="clear" w:color="000000" w:fill="FFFFFF"/>
            <w:noWrap/>
            <w:vAlign w:val="center"/>
            <w:hideMark/>
          </w:tcPr>
          <w:p w14:paraId="6A21E10C"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Step 2.1 * Step 2.2</w:t>
            </w:r>
          </w:p>
        </w:tc>
      </w:tr>
      <w:tr w:rsidR="00210122" w:rsidRPr="00210122" w14:paraId="324F2E4E" w14:textId="77777777" w:rsidTr="00210122">
        <w:trPr>
          <w:trHeight w:val="285"/>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54371C63"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2.4 Total newly arising need per annum</w:t>
            </w:r>
          </w:p>
        </w:tc>
        <w:tc>
          <w:tcPr>
            <w:tcW w:w="992" w:type="dxa"/>
            <w:tcBorders>
              <w:top w:val="nil"/>
              <w:left w:val="nil"/>
              <w:bottom w:val="single" w:sz="4" w:space="0" w:color="auto"/>
              <w:right w:val="single" w:sz="4" w:space="0" w:color="auto"/>
            </w:tcBorders>
            <w:shd w:val="clear" w:color="000000" w:fill="FFFFFF"/>
            <w:vAlign w:val="center"/>
            <w:hideMark/>
          </w:tcPr>
          <w:p w14:paraId="6148DCB4" w14:textId="77777777" w:rsidR="00210122" w:rsidRPr="00210122" w:rsidRDefault="00210122" w:rsidP="00210122">
            <w:pPr>
              <w:spacing w:before="0" w:after="0" w:line="240" w:lineRule="auto"/>
              <w:jc w:val="center"/>
              <w:rPr>
                <w:rFonts w:asciiTheme="minorHAnsi" w:hAnsiTheme="minorHAnsi" w:cstheme="minorHAnsi"/>
                <w:b/>
                <w:bCs/>
                <w:sz w:val="18"/>
                <w:szCs w:val="18"/>
              </w:rPr>
            </w:pPr>
            <w:r w:rsidRPr="00210122">
              <w:rPr>
                <w:rFonts w:asciiTheme="minorHAnsi" w:hAnsiTheme="minorHAnsi" w:cstheme="minorHAnsi"/>
                <w:b/>
                <w:bCs/>
                <w:sz w:val="18"/>
                <w:szCs w:val="18"/>
              </w:rPr>
              <w:t>23.0</w:t>
            </w:r>
          </w:p>
        </w:tc>
        <w:tc>
          <w:tcPr>
            <w:tcW w:w="4678" w:type="dxa"/>
            <w:tcBorders>
              <w:top w:val="nil"/>
              <w:left w:val="nil"/>
              <w:bottom w:val="single" w:sz="4" w:space="0" w:color="auto"/>
              <w:right w:val="single" w:sz="4" w:space="0" w:color="auto"/>
            </w:tcBorders>
            <w:shd w:val="clear" w:color="000000" w:fill="FFFFFF"/>
            <w:noWrap/>
            <w:vAlign w:val="center"/>
            <w:hideMark/>
          </w:tcPr>
          <w:p w14:paraId="4347BDF5"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Step 2.3 divided by plan period</w:t>
            </w:r>
          </w:p>
        </w:tc>
      </w:tr>
      <w:tr w:rsidR="00210122" w:rsidRPr="00210122" w14:paraId="7D86E136" w14:textId="77777777" w:rsidTr="00210122">
        <w:trPr>
          <w:trHeight w:val="570"/>
        </w:trPr>
        <w:tc>
          <w:tcPr>
            <w:tcW w:w="4252" w:type="dxa"/>
            <w:tcBorders>
              <w:top w:val="nil"/>
              <w:left w:val="single" w:sz="4" w:space="0" w:color="auto"/>
              <w:bottom w:val="single" w:sz="4" w:space="0" w:color="auto"/>
              <w:right w:val="nil"/>
            </w:tcBorders>
            <w:shd w:val="clear" w:color="000000" w:fill="FFFFFF"/>
            <w:noWrap/>
            <w:vAlign w:val="bottom"/>
            <w:hideMark/>
          </w:tcPr>
          <w:p w14:paraId="22B0390F"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STAGE 3: SUPPLY OF AFFORDABLE HOUSING</w:t>
            </w:r>
          </w:p>
        </w:tc>
        <w:tc>
          <w:tcPr>
            <w:tcW w:w="992" w:type="dxa"/>
            <w:tcBorders>
              <w:top w:val="nil"/>
              <w:left w:val="nil"/>
              <w:bottom w:val="single" w:sz="4" w:space="0" w:color="auto"/>
              <w:right w:val="nil"/>
            </w:tcBorders>
            <w:shd w:val="clear" w:color="000000" w:fill="FFFFFF"/>
            <w:noWrap/>
            <w:vAlign w:val="center"/>
            <w:hideMark/>
          </w:tcPr>
          <w:p w14:paraId="5D89BC4E"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 </w:t>
            </w:r>
          </w:p>
        </w:tc>
        <w:tc>
          <w:tcPr>
            <w:tcW w:w="4678" w:type="dxa"/>
            <w:tcBorders>
              <w:top w:val="nil"/>
              <w:left w:val="nil"/>
              <w:bottom w:val="single" w:sz="4" w:space="0" w:color="auto"/>
              <w:right w:val="single" w:sz="4" w:space="0" w:color="auto"/>
            </w:tcBorders>
            <w:shd w:val="clear" w:color="000000" w:fill="FFFFFF"/>
            <w:noWrap/>
            <w:vAlign w:val="center"/>
            <w:hideMark/>
          </w:tcPr>
          <w:p w14:paraId="0809DD99"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 </w:t>
            </w:r>
          </w:p>
        </w:tc>
      </w:tr>
      <w:tr w:rsidR="00210122" w:rsidRPr="00210122" w14:paraId="06E22868" w14:textId="77777777" w:rsidTr="00210122">
        <w:trPr>
          <w:trHeight w:val="570"/>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3A7AE262"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3.1 Supply of affordable housing</w:t>
            </w:r>
          </w:p>
        </w:tc>
        <w:tc>
          <w:tcPr>
            <w:tcW w:w="992" w:type="dxa"/>
            <w:tcBorders>
              <w:top w:val="nil"/>
              <w:left w:val="nil"/>
              <w:bottom w:val="single" w:sz="4" w:space="0" w:color="auto"/>
              <w:right w:val="single" w:sz="4" w:space="0" w:color="auto"/>
            </w:tcBorders>
            <w:shd w:val="clear" w:color="000000" w:fill="FFFFFF"/>
            <w:noWrap/>
            <w:vAlign w:val="center"/>
            <w:hideMark/>
          </w:tcPr>
          <w:p w14:paraId="174B968E" w14:textId="5CA817CF" w:rsidR="00210122" w:rsidRPr="00210122" w:rsidRDefault="00210122" w:rsidP="00832DE0">
            <w:pPr>
              <w:spacing w:before="0" w:after="0" w:line="240" w:lineRule="auto"/>
              <w:jc w:val="center"/>
              <w:rPr>
                <w:rFonts w:asciiTheme="minorHAnsi" w:hAnsiTheme="minorHAnsi" w:cstheme="minorHAnsi"/>
                <w:sz w:val="18"/>
                <w:szCs w:val="18"/>
              </w:rPr>
            </w:pPr>
            <w:r w:rsidRPr="00210122">
              <w:rPr>
                <w:rFonts w:asciiTheme="minorHAnsi" w:hAnsiTheme="minorHAnsi" w:cstheme="minorHAnsi"/>
                <w:sz w:val="18"/>
                <w:szCs w:val="18"/>
              </w:rPr>
              <w:t>136</w:t>
            </w:r>
          </w:p>
        </w:tc>
        <w:tc>
          <w:tcPr>
            <w:tcW w:w="4678" w:type="dxa"/>
            <w:tcBorders>
              <w:top w:val="nil"/>
              <w:left w:val="nil"/>
              <w:bottom w:val="single" w:sz="4" w:space="0" w:color="auto"/>
              <w:right w:val="single" w:sz="4" w:space="0" w:color="auto"/>
            </w:tcBorders>
            <w:shd w:val="clear" w:color="000000" w:fill="FFFFFF"/>
            <w:vAlign w:val="center"/>
            <w:hideMark/>
          </w:tcPr>
          <w:p w14:paraId="49DB8DF7" w14:textId="57AF2036"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 xml:space="preserve">Number of shared ownership homes in NA (Census 2011 + LA </w:t>
            </w:r>
            <w:r w:rsidR="0015269D">
              <w:rPr>
                <w:rFonts w:asciiTheme="minorHAnsi" w:hAnsiTheme="minorHAnsi" w:cstheme="minorHAnsi"/>
                <w:sz w:val="18"/>
                <w:szCs w:val="18"/>
              </w:rPr>
              <w:t xml:space="preserve">(local authority) </w:t>
            </w:r>
            <w:r w:rsidRPr="00210122">
              <w:rPr>
                <w:rFonts w:asciiTheme="minorHAnsi" w:hAnsiTheme="minorHAnsi" w:cstheme="minorHAnsi"/>
                <w:sz w:val="18"/>
                <w:szCs w:val="18"/>
              </w:rPr>
              <w:t>new build to 2018/19 pro rated to NA)</w:t>
            </w:r>
          </w:p>
        </w:tc>
      </w:tr>
      <w:tr w:rsidR="00210122" w:rsidRPr="00210122" w14:paraId="2AC5B3B7" w14:textId="77777777" w:rsidTr="00210122">
        <w:trPr>
          <w:trHeight w:val="285"/>
        </w:trPr>
        <w:tc>
          <w:tcPr>
            <w:tcW w:w="4252" w:type="dxa"/>
            <w:tcBorders>
              <w:top w:val="nil"/>
              <w:left w:val="single" w:sz="4" w:space="0" w:color="auto"/>
              <w:bottom w:val="single" w:sz="4" w:space="0" w:color="auto"/>
              <w:right w:val="single" w:sz="4" w:space="0" w:color="auto"/>
            </w:tcBorders>
            <w:shd w:val="clear" w:color="000000" w:fill="FFFFFF"/>
            <w:noWrap/>
            <w:vAlign w:val="bottom"/>
            <w:hideMark/>
          </w:tcPr>
          <w:p w14:paraId="2D34D1EF"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3.2 Supply - intermediate resales</w:t>
            </w:r>
          </w:p>
        </w:tc>
        <w:tc>
          <w:tcPr>
            <w:tcW w:w="992" w:type="dxa"/>
            <w:tcBorders>
              <w:top w:val="nil"/>
              <w:left w:val="nil"/>
              <w:bottom w:val="single" w:sz="4" w:space="0" w:color="auto"/>
              <w:right w:val="single" w:sz="4" w:space="0" w:color="auto"/>
            </w:tcBorders>
            <w:shd w:val="clear" w:color="000000" w:fill="FFFFFF"/>
            <w:noWrap/>
            <w:vAlign w:val="center"/>
            <w:hideMark/>
          </w:tcPr>
          <w:p w14:paraId="5E66817C" w14:textId="0157C8ED" w:rsidR="00210122" w:rsidRPr="00210122" w:rsidRDefault="00210122" w:rsidP="00832DE0">
            <w:pPr>
              <w:spacing w:before="0" w:after="0" w:line="240" w:lineRule="auto"/>
              <w:jc w:val="center"/>
              <w:rPr>
                <w:rFonts w:asciiTheme="minorHAnsi" w:hAnsiTheme="minorHAnsi" w:cstheme="minorHAnsi"/>
                <w:b/>
                <w:bCs/>
                <w:sz w:val="18"/>
                <w:szCs w:val="18"/>
              </w:rPr>
            </w:pPr>
            <w:r w:rsidRPr="00210122">
              <w:rPr>
                <w:rFonts w:asciiTheme="minorHAnsi" w:hAnsiTheme="minorHAnsi" w:cstheme="minorHAnsi"/>
                <w:b/>
                <w:bCs/>
                <w:sz w:val="18"/>
                <w:szCs w:val="18"/>
              </w:rPr>
              <w:t>6.8</w:t>
            </w:r>
          </w:p>
        </w:tc>
        <w:tc>
          <w:tcPr>
            <w:tcW w:w="4678" w:type="dxa"/>
            <w:tcBorders>
              <w:top w:val="nil"/>
              <w:left w:val="nil"/>
              <w:bottom w:val="single" w:sz="4" w:space="0" w:color="auto"/>
              <w:right w:val="single" w:sz="4" w:space="0" w:color="auto"/>
            </w:tcBorders>
            <w:shd w:val="clear" w:color="000000" w:fill="FFFFFF"/>
            <w:noWrap/>
            <w:vAlign w:val="center"/>
            <w:hideMark/>
          </w:tcPr>
          <w:p w14:paraId="1D824CB6"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Step 3.1 * 5% (assume rate of re-sale)</w:t>
            </w:r>
          </w:p>
        </w:tc>
      </w:tr>
      <w:tr w:rsidR="00210122" w:rsidRPr="00210122" w14:paraId="3268AA00" w14:textId="77777777" w:rsidTr="00210122">
        <w:trPr>
          <w:trHeight w:val="285"/>
        </w:trPr>
        <w:tc>
          <w:tcPr>
            <w:tcW w:w="4252" w:type="dxa"/>
            <w:tcBorders>
              <w:top w:val="nil"/>
              <w:left w:val="single" w:sz="4" w:space="0" w:color="auto"/>
              <w:bottom w:val="single" w:sz="4" w:space="0" w:color="auto"/>
              <w:right w:val="nil"/>
            </w:tcBorders>
            <w:shd w:val="clear" w:color="000000" w:fill="FFFFFF"/>
            <w:noWrap/>
            <w:vAlign w:val="bottom"/>
            <w:hideMark/>
          </w:tcPr>
          <w:p w14:paraId="7D8C45E6"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NET SHORTFALL (OR SURPLUS) PER ANNUM</w:t>
            </w:r>
          </w:p>
        </w:tc>
        <w:tc>
          <w:tcPr>
            <w:tcW w:w="992" w:type="dxa"/>
            <w:tcBorders>
              <w:top w:val="nil"/>
              <w:left w:val="nil"/>
              <w:bottom w:val="nil"/>
              <w:right w:val="nil"/>
            </w:tcBorders>
            <w:shd w:val="clear" w:color="000000" w:fill="FFFFFF"/>
            <w:noWrap/>
            <w:vAlign w:val="center"/>
            <w:hideMark/>
          </w:tcPr>
          <w:p w14:paraId="09628145"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 </w:t>
            </w:r>
          </w:p>
        </w:tc>
        <w:tc>
          <w:tcPr>
            <w:tcW w:w="4678" w:type="dxa"/>
            <w:tcBorders>
              <w:top w:val="nil"/>
              <w:left w:val="nil"/>
              <w:bottom w:val="single" w:sz="4" w:space="0" w:color="auto"/>
              <w:right w:val="single" w:sz="4" w:space="0" w:color="auto"/>
            </w:tcBorders>
            <w:shd w:val="clear" w:color="000000" w:fill="FFFFFF"/>
            <w:noWrap/>
            <w:vAlign w:val="center"/>
            <w:hideMark/>
          </w:tcPr>
          <w:p w14:paraId="2305D928" w14:textId="77777777" w:rsidR="00210122" w:rsidRPr="00210122" w:rsidRDefault="00210122" w:rsidP="00210122">
            <w:pPr>
              <w:spacing w:before="0" w:after="0" w:line="240" w:lineRule="auto"/>
              <w:rPr>
                <w:rFonts w:asciiTheme="minorHAnsi" w:hAnsiTheme="minorHAnsi" w:cstheme="minorHAnsi"/>
                <w:b/>
                <w:bCs/>
                <w:sz w:val="18"/>
                <w:szCs w:val="18"/>
              </w:rPr>
            </w:pPr>
            <w:r w:rsidRPr="00210122">
              <w:rPr>
                <w:rFonts w:asciiTheme="minorHAnsi" w:hAnsiTheme="minorHAnsi" w:cstheme="minorHAnsi"/>
                <w:b/>
                <w:bCs/>
                <w:sz w:val="18"/>
                <w:szCs w:val="18"/>
              </w:rPr>
              <w:t> </w:t>
            </w:r>
          </w:p>
        </w:tc>
      </w:tr>
      <w:tr w:rsidR="00210122" w:rsidRPr="00210122" w14:paraId="7EA536A6" w14:textId="77777777" w:rsidTr="00210122">
        <w:trPr>
          <w:trHeight w:val="285"/>
        </w:trPr>
        <w:tc>
          <w:tcPr>
            <w:tcW w:w="4252" w:type="dxa"/>
            <w:tcBorders>
              <w:top w:val="nil"/>
              <w:left w:val="single" w:sz="4" w:space="0" w:color="auto"/>
              <w:bottom w:val="single" w:sz="4" w:space="0" w:color="auto"/>
              <w:right w:val="nil"/>
            </w:tcBorders>
            <w:shd w:val="clear" w:color="000000" w:fill="FFFFFF"/>
            <w:vAlign w:val="center"/>
            <w:hideMark/>
          </w:tcPr>
          <w:p w14:paraId="744E8D00"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Overall shortfall (or surplus) per annum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843263" w14:textId="77777777" w:rsidR="00210122" w:rsidRPr="00210122" w:rsidRDefault="00210122" w:rsidP="00832DE0">
            <w:pPr>
              <w:spacing w:before="0" w:after="0" w:line="240" w:lineRule="auto"/>
              <w:jc w:val="center"/>
              <w:rPr>
                <w:rFonts w:asciiTheme="minorHAnsi" w:hAnsiTheme="minorHAnsi" w:cstheme="minorHAnsi"/>
                <w:b/>
                <w:bCs/>
                <w:sz w:val="18"/>
                <w:szCs w:val="18"/>
              </w:rPr>
            </w:pPr>
            <w:r w:rsidRPr="00210122">
              <w:rPr>
                <w:rFonts w:asciiTheme="minorHAnsi" w:hAnsiTheme="minorHAnsi" w:cstheme="minorHAnsi"/>
                <w:b/>
                <w:bCs/>
                <w:sz w:val="18"/>
                <w:szCs w:val="18"/>
              </w:rPr>
              <w:t>161.2</w:t>
            </w:r>
          </w:p>
        </w:tc>
        <w:tc>
          <w:tcPr>
            <w:tcW w:w="4678" w:type="dxa"/>
            <w:tcBorders>
              <w:top w:val="nil"/>
              <w:left w:val="nil"/>
              <w:bottom w:val="nil"/>
              <w:right w:val="single" w:sz="4" w:space="0" w:color="auto"/>
            </w:tcBorders>
            <w:shd w:val="clear" w:color="000000" w:fill="FFFFFF"/>
            <w:noWrap/>
            <w:vAlign w:val="center"/>
            <w:hideMark/>
          </w:tcPr>
          <w:p w14:paraId="5E8DBD54"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(Step 1.5 + Step 2.4) - Step 3.2</w:t>
            </w:r>
          </w:p>
        </w:tc>
      </w:tr>
      <w:tr w:rsidR="00210122" w:rsidRPr="00210122" w14:paraId="6120FA28" w14:textId="77777777" w:rsidTr="00210122">
        <w:trPr>
          <w:trHeight w:val="285"/>
        </w:trPr>
        <w:tc>
          <w:tcPr>
            <w:tcW w:w="4252" w:type="dxa"/>
            <w:tcBorders>
              <w:top w:val="nil"/>
              <w:left w:val="single" w:sz="4" w:space="0" w:color="auto"/>
              <w:bottom w:val="single" w:sz="4" w:space="0" w:color="auto"/>
              <w:right w:val="single" w:sz="4" w:space="0" w:color="auto"/>
            </w:tcBorders>
            <w:shd w:val="clear" w:color="000000" w:fill="FFFFFF"/>
            <w:vAlign w:val="center"/>
            <w:hideMark/>
          </w:tcPr>
          <w:p w14:paraId="232E772B"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Overall shortfall (or surplus) over the plan period</w:t>
            </w:r>
          </w:p>
        </w:tc>
        <w:tc>
          <w:tcPr>
            <w:tcW w:w="992" w:type="dxa"/>
            <w:tcBorders>
              <w:top w:val="nil"/>
              <w:left w:val="nil"/>
              <w:bottom w:val="single" w:sz="4" w:space="0" w:color="auto"/>
              <w:right w:val="single" w:sz="4" w:space="0" w:color="auto"/>
            </w:tcBorders>
            <w:shd w:val="clear" w:color="000000" w:fill="FFFFFF"/>
            <w:noWrap/>
            <w:vAlign w:val="center"/>
            <w:hideMark/>
          </w:tcPr>
          <w:p w14:paraId="489E5FA6" w14:textId="4BBA3EB6" w:rsidR="00210122" w:rsidRPr="00832DE0" w:rsidRDefault="00210122" w:rsidP="00832DE0">
            <w:pPr>
              <w:spacing w:before="0" w:after="0" w:line="240" w:lineRule="auto"/>
              <w:jc w:val="center"/>
              <w:rPr>
                <w:rFonts w:asciiTheme="minorHAnsi" w:hAnsiTheme="minorHAnsi" w:cstheme="minorHAnsi"/>
                <w:b/>
                <w:bCs/>
                <w:sz w:val="18"/>
                <w:szCs w:val="18"/>
              </w:rPr>
            </w:pPr>
            <w:r w:rsidRPr="00832DE0">
              <w:rPr>
                <w:rFonts w:asciiTheme="minorHAnsi" w:hAnsiTheme="minorHAnsi" w:cstheme="minorHAnsi"/>
                <w:b/>
                <w:bCs/>
                <w:sz w:val="18"/>
                <w:szCs w:val="18"/>
              </w:rPr>
              <w:t>2,649</w:t>
            </w:r>
          </w:p>
        </w:tc>
        <w:tc>
          <w:tcPr>
            <w:tcW w:w="4678" w:type="dxa"/>
            <w:tcBorders>
              <w:top w:val="single" w:sz="4" w:space="0" w:color="auto"/>
              <w:left w:val="nil"/>
              <w:bottom w:val="single" w:sz="4" w:space="0" w:color="auto"/>
              <w:right w:val="single" w:sz="4" w:space="0" w:color="auto"/>
            </w:tcBorders>
            <w:shd w:val="clear" w:color="000000" w:fill="FFFFFF"/>
            <w:noWrap/>
            <w:vAlign w:val="center"/>
            <w:hideMark/>
          </w:tcPr>
          <w:p w14:paraId="7EC83187" w14:textId="77777777" w:rsidR="00210122" w:rsidRPr="00210122" w:rsidRDefault="00210122" w:rsidP="00210122">
            <w:pPr>
              <w:spacing w:before="0" w:after="0" w:line="240" w:lineRule="auto"/>
              <w:rPr>
                <w:rFonts w:asciiTheme="minorHAnsi" w:hAnsiTheme="minorHAnsi" w:cstheme="minorHAnsi"/>
                <w:sz w:val="18"/>
                <w:szCs w:val="18"/>
              </w:rPr>
            </w:pPr>
            <w:r w:rsidRPr="00210122">
              <w:rPr>
                <w:rFonts w:asciiTheme="minorHAnsi" w:hAnsiTheme="minorHAnsi" w:cstheme="minorHAnsi"/>
                <w:sz w:val="18"/>
                <w:szCs w:val="18"/>
              </w:rPr>
              <w:t>(Step 1.4 + Step 2.3) - Step 3.2 * number of years to end of plan period</w:t>
            </w:r>
          </w:p>
        </w:tc>
      </w:tr>
    </w:tbl>
    <w:p w14:paraId="195A281E" w14:textId="2B503C02" w:rsidR="00352ACD" w:rsidRDefault="001568F4" w:rsidP="00352ACD">
      <w:pPr>
        <w:pStyle w:val="Source"/>
        <w:rPr>
          <w:sz w:val="18"/>
        </w:rPr>
      </w:pPr>
      <w:r w:rsidRPr="0086098E">
        <w:rPr>
          <w:rFonts w:eastAsiaTheme="majorEastAsia"/>
        </w:rPr>
        <w:t>Source: AECOM model, using Census 2011, English Housing Survey</w:t>
      </w:r>
      <w:r w:rsidRPr="0086098E">
        <w:rPr>
          <w:bCs/>
        </w:rPr>
        <w:t xml:space="preserve"> 2018</w:t>
      </w:r>
      <w:r w:rsidRPr="0086098E">
        <w:rPr>
          <w:rFonts w:eastAsiaTheme="majorEastAsia"/>
        </w:rPr>
        <w:t xml:space="preserve">, CLG </w:t>
      </w:r>
      <w:r w:rsidRPr="0086098E">
        <w:rPr>
          <w:bCs/>
        </w:rPr>
        <w:t>201</w:t>
      </w:r>
      <w:r w:rsidR="00210122">
        <w:rPr>
          <w:bCs/>
        </w:rPr>
        <w:t>8</w:t>
      </w:r>
      <w:r w:rsidRPr="0086098E">
        <w:rPr>
          <w:bCs/>
        </w:rPr>
        <w:t xml:space="preserve"> based </w:t>
      </w:r>
      <w:r w:rsidRPr="0086098E">
        <w:rPr>
          <w:rFonts w:eastAsiaTheme="majorEastAsia"/>
        </w:rPr>
        <w:t>household projections and ne</w:t>
      </w:r>
      <w:r w:rsidRPr="0086098E">
        <w:rPr>
          <w:bCs/>
        </w:rPr>
        <w:t>t</w:t>
      </w:r>
      <w:r w:rsidRPr="0086098E">
        <w:rPr>
          <w:rFonts w:eastAsiaTheme="majorEastAsia"/>
        </w:rPr>
        <w:t xml:space="preserve"> additions to affordable housing stock.</w:t>
      </w:r>
      <w:r>
        <w:rPr>
          <w:rFonts w:eastAsiaTheme="majorEastAsia"/>
        </w:rPr>
        <w:t xml:space="preserve"> Figures may not sum due to rounding.</w:t>
      </w:r>
      <w:r w:rsidR="00352ACD" w:rsidRPr="00352ACD">
        <w:rPr>
          <w:sz w:val="18"/>
        </w:rPr>
        <w:t xml:space="preserve"> </w:t>
      </w:r>
    </w:p>
    <w:p w14:paraId="2FA6074D" w14:textId="031EF9A8" w:rsidR="00352ACD" w:rsidRPr="004D4868" w:rsidRDefault="00794D81" w:rsidP="00A82210">
      <w:pPr>
        <w:pStyle w:val="ListNumber"/>
      </w:pPr>
      <w:r>
        <w:t>Regardless of which estimate of need</w:t>
      </w:r>
      <w:r w:rsidR="00287706">
        <w:t xml:space="preserve"> for affordable housing for sale</w:t>
      </w:r>
      <w:r>
        <w:t xml:space="preserve"> is used, i</w:t>
      </w:r>
      <w:r w:rsidR="00352ACD" w:rsidRPr="004D4868">
        <w:t>t is important to keep in mind that the households identified</w:t>
      </w:r>
      <w:r>
        <w:t xml:space="preserve"> as in need of affordable housing for sale (in the</w:t>
      </w:r>
      <w:r w:rsidR="00287706">
        <w:t xml:space="preserve"> lower</w:t>
      </w:r>
      <w:r>
        <w:t xml:space="preserve"> prorated SHMA estimate as well as</w:t>
      </w:r>
      <w:r w:rsidR="00352ACD" w:rsidRPr="004D4868">
        <w:t xml:space="preserve"> in the </w:t>
      </w:r>
      <w:r w:rsidR="00287706">
        <w:t xml:space="preserve">higher </w:t>
      </w:r>
      <w:r w:rsidR="00352ACD" w:rsidRPr="004D4868">
        <w:t xml:space="preserve">estimate in Figure </w:t>
      </w:r>
      <w:r w:rsidR="000E0E0E">
        <w:t>4-9</w:t>
      </w:r>
      <w:r>
        <w:t>)</w:t>
      </w:r>
      <w:r w:rsidR="00352ACD" w:rsidRPr="004D4868">
        <w:t xml:space="preserve"> are, by and large, adequately housed in the private rented sector. They do not lack their own housing but</w:t>
      </w:r>
      <w:r w:rsidR="00514986">
        <w:t xml:space="preserve"> are likely to</w:t>
      </w:r>
      <w:r w:rsidR="00352ACD" w:rsidRPr="004D4868">
        <w:t xml:space="preserve"> prefer to buy rather than rent. </w:t>
      </w:r>
    </w:p>
    <w:p w14:paraId="0F72DE68" w14:textId="61D5FCD1" w:rsidR="00352ACD" w:rsidRPr="004D4868" w:rsidRDefault="00352ACD" w:rsidP="00A82210">
      <w:pPr>
        <w:pStyle w:val="ListNumber"/>
      </w:pPr>
      <w:r w:rsidRPr="004D4868">
        <w:t xml:space="preserve">There is no policy or legal obligation on the part either of the Local Authority or neighbourhood planners to meet affordable housing needs in full, either within or outside the Neighbourhood Plan area, </w:t>
      </w:r>
      <w:r w:rsidR="00287706">
        <w:t>al</w:t>
      </w:r>
      <w:r w:rsidRPr="004D4868">
        <w:t>though there are tools available to neighbourhood planners that can help ensure that it is met to a greater extent if resources permit (e</w:t>
      </w:r>
      <w:r w:rsidR="000E0E0E">
        <w:t>.</w:t>
      </w:r>
      <w:r w:rsidRPr="004D4868">
        <w:t>g</w:t>
      </w:r>
      <w:r w:rsidR="000E0E0E">
        <w:t>.</w:t>
      </w:r>
      <w:r w:rsidRPr="004D4868">
        <w:t xml:space="preserve"> the ability to allocate sites for affordable housing).</w:t>
      </w:r>
    </w:p>
    <w:p w14:paraId="44CAEF8F" w14:textId="5F1A9BE1" w:rsidR="00352ACD" w:rsidRPr="004D4868" w:rsidRDefault="00352ACD" w:rsidP="00A82210">
      <w:pPr>
        <w:pStyle w:val="ListNumber"/>
      </w:pPr>
      <w:r w:rsidRPr="004D4868">
        <w:t>It is also important to remember that even after the</w:t>
      </w:r>
      <w:r w:rsidR="000E0E0E">
        <w:t xml:space="preserve"> Weymouth</w:t>
      </w:r>
      <w:r w:rsidRPr="004D4868">
        <w:t xml:space="preserve">, or indeed any other, Neighbourhood Plan is adopted, the assessment of need for Affordable Housing, the allocation of affordable rented housing to those in need and the management of the housing waiting list all remain the responsibility of the local authority rather than neighbourhood planners. </w:t>
      </w:r>
    </w:p>
    <w:p w14:paraId="316A0BAB" w14:textId="72B0C559" w:rsidR="001568F4" w:rsidRDefault="00352ACD" w:rsidP="00A82210">
      <w:pPr>
        <w:pStyle w:val="ListNumber"/>
      </w:pPr>
      <w:r w:rsidRPr="004D4868">
        <w:t>In this sense, it must be acknowledged that neighbourhood plans are by their nature relatively constrained in terms of the extent to which they can meet affordable housing need, unless there is a specific policy on the housing supply-side (e.g. the identification of one or more housing exception sites over and above those required by the Local Plan)</w:t>
      </w:r>
      <w:r w:rsidR="00287706">
        <w:t>, if this is something the group wish to explore</w:t>
      </w:r>
      <w:r w:rsidRPr="004D4868">
        <w:t>.</w:t>
      </w:r>
    </w:p>
    <w:p w14:paraId="028FE5D1" w14:textId="564A5374" w:rsidR="00287706" w:rsidRDefault="00287706" w:rsidP="00A82210">
      <w:pPr>
        <w:pStyle w:val="ListNumber"/>
      </w:pPr>
      <w:bookmarkStart w:id="111" w:name="_Hlk67570642"/>
      <w:r>
        <w:t xml:space="preserve">Therefore, AECOM recommend adhering to the pro-rated SHMA estimates of need for affordable housing for rent as a minimum, more urgent need (74 homes per annum or </w:t>
      </w:r>
      <w:r w:rsidR="00B81DFA">
        <w:t>1,260</w:t>
      </w:r>
      <w:r>
        <w:t xml:space="preserve"> units over the Neighbourhood Plan period). Regarding the affordable housing for sale need, AECOM view the need for 30 units identified in the SHMA as a reasonable starting point in estimating need for affordable home ownership products</w:t>
      </w:r>
      <w:r w:rsidR="00A9212D">
        <w:t xml:space="preserve"> per year (</w:t>
      </w:r>
      <w:r w:rsidR="00B81DFA">
        <w:t>515</w:t>
      </w:r>
      <w:r w:rsidR="00A9212D">
        <w:t xml:space="preserve"> over the Neighbourhood Plan period)</w:t>
      </w:r>
      <w:r>
        <w:t>, but wish to point out that the actual number of households interested in home ownership but unable to buy in Weymouth is likely to be much higher, potentially requiring up to 161 units per year</w:t>
      </w:r>
      <w:r w:rsidR="00B81DFA">
        <w:t xml:space="preserve"> (</w:t>
      </w:r>
      <w:r w:rsidR="00B81DFA" w:rsidRPr="00210122">
        <w:rPr>
          <w:rFonts w:asciiTheme="minorHAnsi" w:hAnsiTheme="minorHAnsi" w:cstheme="minorHAnsi"/>
        </w:rPr>
        <w:t>2</w:t>
      </w:r>
      <w:r w:rsidR="00B81DFA">
        <w:rPr>
          <w:rFonts w:asciiTheme="minorHAnsi" w:hAnsiTheme="minorHAnsi" w:cstheme="minorHAnsi"/>
        </w:rPr>
        <w:t>,</w:t>
      </w:r>
      <w:r w:rsidR="00B81DFA" w:rsidRPr="00210122">
        <w:rPr>
          <w:rFonts w:asciiTheme="minorHAnsi" w:hAnsiTheme="minorHAnsi" w:cstheme="minorHAnsi"/>
        </w:rPr>
        <w:t>649</w:t>
      </w:r>
      <w:r w:rsidR="00B81DFA">
        <w:rPr>
          <w:rFonts w:asciiTheme="minorHAnsi" w:hAnsiTheme="minorHAnsi" w:cstheme="minorHAnsi"/>
        </w:rPr>
        <w:t xml:space="preserve"> over the Neighbourhood Plan period)</w:t>
      </w:r>
      <w:r>
        <w:t>, if all of this need were to be met.</w:t>
      </w:r>
      <w:r w:rsidR="00B81DFA">
        <w:t xml:space="preserve"> </w:t>
      </w:r>
    </w:p>
    <w:p w14:paraId="442D3271" w14:textId="045C1A36" w:rsidR="00D95ACD" w:rsidRPr="001568F4" w:rsidRDefault="001568F4" w:rsidP="004D4868">
      <w:pPr>
        <w:pStyle w:val="Heading3"/>
      </w:pPr>
      <w:bookmarkStart w:id="112" w:name="_Toc64026803"/>
      <w:bookmarkEnd w:id="107"/>
      <w:bookmarkEnd w:id="108"/>
      <w:bookmarkEnd w:id="110"/>
      <w:bookmarkEnd w:id="111"/>
      <w:r w:rsidRPr="004D4868">
        <w:t xml:space="preserve">Additional </w:t>
      </w:r>
      <w:r w:rsidR="00D95ACD" w:rsidRPr="001568F4">
        <w:t>SHMA findings</w:t>
      </w:r>
      <w:bookmarkEnd w:id="112"/>
    </w:p>
    <w:p w14:paraId="193758CA" w14:textId="1EFE5BB0" w:rsidR="0025287A" w:rsidRDefault="00684C64" w:rsidP="0012592E">
      <w:pPr>
        <w:pStyle w:val="ListNumber"/>
      </w:pPr>
      <w:r>
        <w:t xml:space="preserve">Additional findings from the 2015 SHMA update </w:t>
      </w:r>
      <w:r w:rsidR="0025287A">
        <w:t>which are relevant to the subject of tenure and affordability in Weymouth include the following:</w:t>
      </w:r>
    </w:p>
    <w:p w14:paraId="3050C14D" w14:textId="20F5FFDF" w:rsidR="00171B70" w:rsidRPr="00584A7E" w:rsidRDefault="00171B70" w:rsidP="00584A7E">
      <w:pPr>
        <w:pStyle w:val="ListBullet"/>
      </w:pPr>
      <w:r w:rsidRPr="00584A7E">
        <w:t>Weymouth &amp; Portland contain a lower proportion of the population that are of working age than is found regionally and nationally</w:t>
      </w:r>
      <w:r w:rsidR="00584A7E" w:rsidRPr="00584A7E">
        <w:t xml:space="preserve">, due largely to a higher </w:t>
      </w:r>
      <w:r w:rsidRPr="00584A7E">
        <w:t>than average proportion of people of pensionable age</w:t>
      </w:r>
      <w:r w:rsidR="00584A7E" w:rsidRPr="00584A7E">
        <w:t>;</w:t>
      </w:r>
    </w:p>
    <w:p w14:paraId="2BB986A4" w14:textId="3B3E7A0C" w:rsidR="00B24542" w:rsidRDefault="00584A7E" w:rsidP="00584A7E">
      <w:pPr>
        <w:pStyle w:val="ListBullet"/>
      </w:pPr>
      <w:r>
        <w:t>The area has had a n</w:t>
      </w:r>
      <w:r w:rsidR="00171B70">
        <w:t>otable growth in part</w:t>
      </w:r>
      <w:r>
        <w:t>-</w:t>
      </w:r>
      <w:r w:rsidR="00171B70">
        <w:t>time employme</w:t>
      </w:r>
      <w:r>
        <w:t>nt in the years preceding the SH</w:t>
      </w:r>
      <w:r w:rsidR="00A52B85">
        <w:t>MA</w:t>
      </w:r>
      <w:r>
        <w:t>;</w:t>
      </w:r>
      <w:r w:rsidR="00171B70">
        <w:t xml:space="preserve"> </w:t>
      </w:r>
    </w:p>
    <w:p w14:paraId="5D546F60" w14:textId="68A3947C" w:rsidR="00171B70" w:rsidRPr="00171B70" w:rsidRDefault="00171B70" w:rsidP="00584A7E">
      <w:pPr>
        <w:pStyle w:val="ListBullet"/>
      </w:pPr>
      <w:r w:rsidRPr="00171B70">
        <w:t>Weymouth &amp; Portland contains proportionally fewer residents working in managerial jobs than is found regionally and nationally</w:t>
      </w:r>
      <w:r w:rsidR="00584A7E">
        <w:t xml:space="preserve"> and a </w:t>
      </w:r>
      <w:r w:rsidRPr="00171B70">
        <w:t>higher than average level of working-age residents without any qualifications</w:t>
      </w:r>
      <w:r w:rsidR="00584A7E">
        <w:t>;</w:t>
      </w:r>
    </w:p>
    <w:p w14:paraId="781244F3" w14:textId="3D4AFD0D" w:rsidR="00171B70" w:rsidRDefault="00584A7E" w:rsidP="00584A7E">
      <w:pPr>
        <w:pStyle w:val="ListBullet"/>
      </w:pPr>
      <w:r>
        <w:t>Incomes are l</w:t>
      </w:r>
      <w:r w:rsidR="00171B70">
        <w:t>ower that regionally and nationally</w:t>
      </w:r>
      <w:r>
        <w:t>;</w:t>
      </w:r>
    </w:p>
    <w:p w14:paraId="1FE23164" w14:textId="1051425E" w:rsidR="00171B70" w:rsidRPr="00171B70" w:rsidRDefault="00171B70" w:rsidP="00584A7E">
      <w:pPr>
        <w:pStyle w:val="ListBullet"/>
      </w:pPr>
      <w:r w:rsidRPr="00171B70">
        <w:t xml:space="preserve">It is estimated that in Weymouth &amp; Portland in 2013 just over 50% of households in the private rented sector </w:t>
      </w:r>
      <w:r w:rsidR="00A52B85">
        <w:t>we</w:t>
      </w:r>
      <w:r w:rsidRPr="00171B70">
        <w:t>re supported by Housing Benefit or Local Housing Allowance, compared to around 25% nationally</w:t>
      </w:r>
      <w:r w:rsidR="00584A7E">
        <w:t>;</w:t>
      </w:r>
      <w:r w:rsidRPr="00171B70">
        <w:t xml:space="preserve"> </w:t>
      </w:r>
    </w:p>
    <w:p w14:paraId="23802512" w14:textId="4046D95E" w:rsidR="00171B70" w:rsidRDefault="00171B70" w:rsidP="00A52B85">
      <w:pPr>
        <w:pStyle w:val="ListBullet"/>
      </w:pPr>
      <w:r w:rsidRPr="00171B70">
        <w:t>Housing market gaps analysis shows that there is a large income gap between the social rented sector and market entry and that Affordable Rent</w:t>
      </w:r>
      <w:r w:rsidR="00584A7E">
        <w:t xml:space="preserve"> (</w:t>
      </w:r>
      <w:r w:rsidRPr="00171B70">
        <w:t>shared ownership and discounted market rent</w:t>
      </w:r>
      <w:r w:rsidR="00584A7E">
        <w:t>)</w:t>
      </w:r>
      <w:r w:rsidRPr="00171B70">
        <w:t xml:space="preserve"> are all products that fit into this gap</w:t>
      </w:r>
      <w:r w:rsidR="00A52B85">
        <w:t xml:space="preserve"> (note that this is contiguous with our analysis above, showing a potentially very large upper end needs figure for affordable housing for sale in the Weymouth area)</w:t>
      </w:r>
      <w:r w:rsidR="00584A7E">
        <w:t>;</w:t>
      </w:r>
      <w:r w:rsidRPr="00171B70">
        <w:t xml:space="preserve"> </w:t>
      </w:r>
      <w:r w:rsidR="00584A7E">
        <w:t>and</w:t>
      </w:r>
      <w:r w:rsidRPr="00171B70">
        <w:t xml:space="preserve"> </w:t>
      </w:r>
    </w:p>
    <w:p w14:paraId="10E1E7F4" w14:textId="1F84CD3E" w:rsidR="00584A7E" w:rsidRDefault="00584A7E" w:rsidP="00584A7E">
      <w:pPr>
        <w:pStyle w:val="ListBullet"/>
      </w:pPr>
      <w:r w:rsidRPr="00171B70">
        <w:t xml:space="preserve">In terms of the accommodation required to provide housing market balance over the period to 2031, the </w:t>
      </w:r>
      <w:r w:rsidR="00A52B85">
        <w:t xml:space="preserve">SHMA </w:t>
      </w:r>
      <w:r w:rsidRPr="00171B70">
        <w:t>model which is based on secondary data, suggest</w:t>
      </w:r>
      <w:r w:rsidR="00A52B85">
        <w:t>ed</w:t>
      </w:r>
      <w:r w:rsidRPr="00171B70">
        <w:t xml:space="preserve"> that of the new housing required up to 2031, 36% should be owner-occupied, 35% private rented, 1% shared ownership and 28% social rent/Affordable Rent.</w:t>
      </w:r>
    </w:p>
    <w:p w14:paraId="66DB8C5B" w14:textId="7B41EC0B" w:rsidR="001568F4" w:rsidRPr="001568F4" w:rsidRDefault="001568F4" w:rsidP="001568F4">
      <w:pPr>
        <w:keepNext/>
        <w:keepLines/>
        <w:numPr>
          <w:ilvl w:val="2"/>
          <w:numId w:val="20"/>
        </w:numPr>
        <w:spacing w:before="240" w:after="180" w:line="264" w:lineRule="auto"/>
        <w:outlineLvl w:val="2"/>
        <w:rPr>
          <w:rFonts w:asciiTheme="majorHAnsi" w:eastAsiaTheme="majorEastAsia" w:hAnsiTheme="majorHAnsi" w:cstheme="majorBidi"/>
          <w:bCs/>
          <w:color w:val="00B5E2" w:themeColor="accent1"/>
          <w:sz w:val="22"/>
        </w:rPr>
      </w:pPr>
      <w:bookmarkStart w:id="113" w:name="_Toc33532067"/>
      <w:bookmarkStart w:id="114" w:name="_Toc64026804"/>
      <w:r w:rsidRPr="001568F4">
        <w:rPr>
          <w:rFonts w:asciiTheme="majorHAnsi" w:eastAsiaTheme="majorEastAsia" w:hAnsiTheme="majorHAnsi" w:cstheme="majorBidi"/>
          <w:bCs/>
          <w:color w:val="00B5E2" w:themeColor="accent1"/>
          <w:sz w:val="22"/>
        </w:rPr>
        <w:t xml:space="preserve">Affordable Housing Policies in </w:t>
      </w:r>
      <w:bookmarkEnd w:id="113"/>
      <w:r w:rsidR="0025287A">
        <w:rPr>
          <w:rFonts w:asciiTheme="majorHAnsi" w:eastAsiaTheme="majorEastAsia" w:hAnsiTheme="majorHAnsi" w:cstheme="majorBidi"/>
          <w:bCs/>
          <w:color w:val="00B5E2" w:themeColor="accent1"/>
          <w:sz w:val="22"/>
        </w:rPr>
        <w:t>Weymouth</w:t>
      </w:r>
      <w:bookmarkEnd w:id="114"/>
    </w:p>
    <w:p w14:paraId="691F979E" w14:textId="74DD8E65" w:rsidR="00840C40" w:rsidRPr="00840C40" w:rsidRDefault="001568F4" w:rsidP="00840C40">
      <w:pPr>
        <w:pStyle w:val="ListNumber"/>
        <w:rPr>
          <w:rFonts w:eastAsiaTheme="minorHAnsi"/>
        </w:rPr>
      </w:pPr>
      <w:r w:rsidRPr="00840C40">
        <w:t>The Neighbourhood Plan may wish to develop policies in relation to the delivery of Affordable Housing within</w:t>
      </w:r>
      <w:r w:rsidR="00D12F8F" w:rsidRPr="00840C40">
        <w:t xml:space="preserve"> Weymouth</w:t>
      </w:r>
      <w:r w:rsidRPr="00840C40">
        <w:t xml:space="preserve">. </w:t>
      </w:r>
      <w:r w:rsidR="00D12F8F" w:rsidRPr="00840C40">
        <w:t xml:space="preserve">Dorset’s adopted </w:t>
      </w:r>
      <w:r w:rsidRPr="00840C40">
        <w:t xml:space="preserve">Local Plan policy in relation to Affordable Housing delivery requires </w:t>
      </w:r>
      <w:r w:rsidR="00D12F8F" w:rsidRPr="00840C40">
        <w:t>35</w:t>
      </w:r>
      <w:r w:rsidRPr="00840C40">
        <w:t xml:space="preserve">% of all new homes to be delivered as Affordable Housing </w:t>
      </w:r>
      <w:r w:rsidR="00D12F8F" w:rsidRPr="00840C40">
        <w:t>(adopted Local Plan policy HOUS1)</w:t>
      </w:r>
      <w:r w:rsidRPr="00840C40">
        <w:t xml:space="preserve">. This policy would </w:t>
      </w:r>
      <w:r w:rsidR="00D12F8F" w:rsidRPr="00840C40">
        <w:t xml:space="preserve">currently </w:t>
      </w:r>
      <w:r w:rsidRPr="00840C40">
        <w:t xml:space="preserve">apply in </w:t>
      </w:r>
      <w:r w:rsidR="00D12F8F" w:rsidRPr="00840C40">
        <w:t>Weymouth</w:t>
      </w:r>
      <w:r w:rsidR="00840C40" w:rsidRPr="00840C40">
        <w:t xml:space="preserve"> and further suggests a </w:t>
      </w:r>
      <w:r w:rsidR="00840C40" w:rsidRPr="00840C40">
        <w:rPr>
          <w:rFonts w:eastAsiaTheme="minorHAnsi"/>
        </w:rPr>
        <w:t>split of minimum 70% social / affordable rent and maximum 30% intermediate affordable housing, unless identified local needs indicate that alternative provision would be appropriate.</w:t>
      </w:r>
    </w:p>
    <w:p w14:paraId="6C7B2E7A" w14:textId="38681876" w:rsidR="00840C40" w:rsidRPr="00840C40" w:rsidRDefault="00D12F8F" w:rsidP="00840C40">
      <w:pPr>
        <w:pStyle w:val="ListNumber"/>
        <w:rPr>
          <w:rFonts w:eastAsiaTheme="minorHAnsi"/>
        </w:rPr>
      </w:pPr>
      <w:r w:rsidRPr="00840C40">
        <w:t xml:space="preserve">The emerging new Local Plan contains a </w:t>
      </w:r>
      <w:r w:rsidR="00A52B85">
        <w:t xml:space="preserve">similar but slightly more detailed </w:t>
      </w:r>
      <w:r w:rsidRPr="00840C40">
        <w:t xml:space="preserve">policy (draft policy HOUS2) which </w:t>
      </w:r>
      <w:r w:rsidR="00840C40" w:rsidRPr="00840C40">
        <w:t>states an</w:t>
      </w:r>
      <w:r w:rsidRPr="00840C40">
        <w:t xml:space="preserve"> affordable housing requirement </w:t>
      </w:r>
      <w:r w:rsidR="00840C40" w:rsidRPr="00840C40">
        <w:t>for Weymouth</w:t>
      </w:r>
      <w:r w:rsidR="00BE5E4F">
        <w:t xml:space="preserve"> Town Centre</w:t>
      </w:r>
      <w:r w:rsidR="00840C40" w:rsidRPr="00840C40">
        <w:t xml:space="preserve"> </w:t>
      </w:r>
      <w:r w:rsidR="00BE5E4F">
        <w:t xml:space="preserve"> of 25% and a requirement of 35% for the remainder of the NA</w:t>
      </w:r>
      <w:r w:rsidR="00840C40" w:rsidRPr="00840C40">
        <w:t xml:space="preserve"> (</w:t>
      </w:r>
      <w:r w:rsidR="00BE5E4F">
        <w:t xml:space="preserve">expressed as a range </w:t>
      </w:r>
      <w:r w:rsidR="00840C40" w:rsidRPr="00840C40">
        <w:t xml:space="preserve">of </w:t>
      </w:r>
      <w:r w:rsidR="00BE5E4F" w:rsidRPr="00840C40">
        <w:rPr>
          <w:rFonts w:eastAsiaTheme="minorHAnsi"/>
        </w:rPr>
        <w:t>2</w:t>
      </w:r>
      <w:r w:rsidR="00BE5E4F">
        <w:rPr>
          <w:rFonts w:eastAsiaTheme="minorHAnsi"/>
        </w:rPr>
        <w:t>0-30</w:t>
      </w:r>
      <w:r w:rsidRPr="00840C40">
        <w:rPr>
          <w:rFonts w:eastAsiaTheme="minorHAnsi"/>
        </w:rPr>
        <w:t>%</w:t>
      </w:r>
      <w:r w:rsidR="00BE5E4F">
        <w:rPr>
          <w:rFonts w:eastAsiaTheme="minorHAnsi"/>
        </w:rPr>
        <w:t xml:space="preserve"> and 30-40%</w:t>
      </w:r>
      <w:r w:rsidRPr="00840C40">
        <w:rPr>
          <w:rFonts w:eastAsiaTheme="minorHAnsi"/>
        </w:rPr>
        <w:t xml:space="preserve"> in </w:t>
      </w:r>
      <w:r w:rsidR="00840C40" w:rsidRPr="00840C40">
        <w:rPr>
          <w:rFonts w:eastAsiaTheme="minorHAnsi"/>
        </w:rPr>
        <w:t>draft Local Plan figure 4.2</w:t>
      </w:r>
      <w:r w:rsidRPr="00840C40">
        <w:rPr>
          <w:rFonts w:eastAsiaTheme="minorHAnsi"/>
        </w:rPr>
        <w:t>).</w:t>
      </w:r>
      <w:r w:rsidR="00840C40" w:rsidRPr="00840C40">
        <w:rPr>
          <w:rFonts w:eastAsiaTheme="minorHAnsi"/>
        </w:rPr>
        <w:t xml:space="preserve"> HOUS2 also states that housing on major sites (that is of 10 or more dwellings) and sites of 5 to 9 net additional dwellings in ‘designated rural areas’ will contribute to the provision of affordable housing. The proposed split in the same policy is maximum 30% (but not less than 10%) affordable home ownership products; minimum 30% social rent; and minimum 40% affordable rent (thus a total minimum of 70% affordable housing for rent).</w:t>
      </w:r>
    </w:p>
    <w:p w14:paraId="37473AF0" w14:textId="3B61A9EB" w:rsidR="005B4FAE" w:rsidRDefault="005B4FAE" w:rsidP="00A82210">
      <w:pPr>
        <w:pStyle w:val="ListNumber"/>
      </w:pPr>
      <w:r>
        <w:t xml:space="preserve">Note, however, that the Government’s August 2020 </w:t>
      </w:r>
      <w:r w:rsidRPr="00A1317B">
        <w:t>consultation proposals for ‘Changes to the current planning system’ include a temporary measure to lift the small sites threshold</w:t>
      </w:r>
      <w:r>
        <w:t>. This would mean that</w:t>
      </w:r>
      <w:r w:rsidRPr="00A1317B">
        <w:t xml:space="preserve"> developers </w:t>
      </w:r>
      <w:r>
        <w:t>would</w:t>
      </w:r>
      <w:r w:rsidRPr="00A1317B">
        <w:t xml:space="preserve"> not need to contribute to Affordable Housing</w:t>
      </w:r>
      <w:r>
        <w:t xml:space="preserve"> on sites of </w:t>
      </w:r>
      <w:r w:rsidRPr="00A1317B">
        <w:t xml:space="preserve">up to 40 or 50 units. </w:t>
      </w:r>
      <w:r>
        <w:t xml:space="preserve">This represents a significant increase on the threshold sought in the </w:t>
      </w:r>
      <w:r w:rsidR="00840C40">
        <w:t xml:space="preserve">adopted and emerging </w:t>
      </w:r>
      <w:r>
        <w:t>Local Plan</w:t>
      </w:r>
      <w:r w:rsidR="00840C40">
        <w:t>s</w:t>
      </w:r>
      <w:r>
        <w:t xml:space="preserve"> (cited above), and therefore may reduce the delivery of Affordable Housing on normal development sites during the temporary period in which it applies. </w:t>
      </w:r>
    </w:p>
    <w:p w14:paraId="42ACCD5F" w14:textId="0CFCDA78" w:rsidR="005B4FAE" w:rsidRPr="00A1317B" w:rsidRDefault="005B4FAE" w:rsidP="00A82210">
      <w:pPr>
        <w:pStyle w:val="ListNumber"/>
      </w:pPr>
      <w:r>
        <w:t>It is expected that this temporary period will be short and, being introduced to combat the economic impacts of Covid-19 on small builders, may have already elapsed by the time the Neighbourhood Plan is made. Nevertheless, it could have an impact on Affordable Housing delivery in the short term and warrants the attention of the neighborhood planners as the Government consultation proceeds. For more detail on this proposal in relation to the overall quantity of housing expected in the NA during the Plan period and a link to the consultation document, see the ‘Quantity of housing to provide’ section at the start of this report (section 2.2.3).</w:t>
      </w:r>
    </w:p>
    <w:p w14:paraId="265978CF" w14:textId="2273B4E7" w:rsidR="005A4C43" w:rsidRPr="00DC1088" w:rsidRDefault="005A4C43" w:rsidP="00A82210">
      <w:pPr>
        <w:pStyle w:val="ListNumber"/>
      </w:pPr>
      <w:r w:rsidRPr="00DC1088">
        <w:t xml:space="preserve">Table </w:t>
      </w:r>
      <w:r w:rsidR="00657F4D">
        <w:t>4-9</w:t>
      </w:r>
      <w:r w:rsidRPr="00DC1088">
        <w:t xml:space="preserve"> </w:t>
      </w:r>
      <w:r w:rsidR="00C43D1F">
        <w:t xml:space="preserve">at the end of this chapter </w:t>
      </w:r>
      <w:r w:rsidRPr="00DC1088">
        <w:t>estimates the number of affordable homes likely to come forward based on the overall housing requirement for the NA and the application of affordable housing policies.</w:t>
      </w:r>
    </w:p>
    <w:p w14:paraId="2F82FAC3" w14:textId="1AB3103D" w:rsidR="001568F4" w:rsidRPr="00DC1088" w:rsidRDefault="001568F4" w:rsidP="00A82210">
      <w:pPr>
        <w:pStyle w:val="ListNumber"/>
      </w:pPr>
      <w:bookmarkStart w:id="115" w:name="_Hlk33516108"/>
      <w:r w:rsidRPr="00DC1088">
        <w:t>On small scale developments, such as</w:t>
      </w:r>
      <w:r w:rsidR="00840C40">
        <w:t xml:space="preserve"> some of</w:t>
      </w:r>
      <w:r w:rsidRPr="00DC1088">
        <w:t xml:space="preserve"> those expected to come forward over the plan period</w:t>
      </w:r>
      <w:r w:rsidR="00840C40">
        <w:t xml:space="preserve"> in Weymouth</w:t>
      </w:r>
      <w:r w:rsidRPr="00DC1088">
        <w:t>, only small numbers of affordable homes are likely to be delivered through the application of this policy. For this reason, the neighbourhood group may wish to consider identifying sites specifically for the provision of affordable housing. This would enable more substantial provision of Affordable Housing</w:t>
      </w:r>
      <w:r w:rsidR="00C43D1F">
        <w:t>, and could also act as a suitable way forward if the Government’s proposal to temporarily lift the small sites Affordable Housing threshold is likely to have a significant impact on provision in the NA</w:t>
      </w:r>
      <w:r w:rsidRPr="00DC1088">
        <w:t>.</w:t>
      </w:r>
    </w:p>
    <w:bookmarkEnd w:id="115"/>
    <w:p w14:paraId="4EDAD5FE" w14:textId="36F9BE0C" w:rsidR="001568F4" w:rsidRPr="00DC1088" w:rsidRDefault="001568F4" w:rsidP="00A82210">
      <w:pPr>
        <w:pStyle w:val="ListNumber"/>
      </w:pPr>
      <w:r w:rsidRPr="00DC1088">
        <w:t xml:space="preserve">The neighbourhood group may wish to develop policies on the mix of Affordable Housing delivered in </w:t>
      </w:r>
      <w:r w:rsidR="00840C40">
        <w:t>Weymouth</w:t>
      </w:r>
      <w:r w:rsidRPr="00DC1088">
        <w:t xml:space="preserve">. It is not the role of the HNA to develop policy, as there are a wider set of factors which apply and need to be considered by the neighbourhood planners. However, the following evidence and considerations may be used as a starting point in the development of policy. On the balance of the evidence in this HNA, AECOM set out a judgement on the starting point for an appropriate tenure mix in </w:t>
      </w:r>
      <w:r w:rsidR="00840C40">
        <w:t>Weymouth</w:t>
      </w:r>
      <w:r w:rsidRPr="00DC1088">
        <w:t>.</w:t>
      </w:r>
    </w:p>
    <w:p w14:paraId="3C50523B" w14:textId="60204C6E" w:rsidR="001568F4" w:rsidRDefault="001568F4" w:rsidP="00A676E3">
      <w:pPr>
        <w:numPr>
          <w:ilvl w:val="0"/>
          <w:numId w:val="24"/>
        </w:numPr>
        <w:spacing w:after="120"/>
        <w:rPr>
          <w:sz w:val="18"/>
          <w:lang w:val="en-US"/>
        </w:rPr>
      </w:pPr>
      <w:r w:rsidRPr="009951EE">
        <w:rPr>
          <w:b/>
          <w:sz w:val="18"/>
          <w:lang w:val="en-US"/>
        </w:rPr>
        <w:t>Evidence of need for Affordable Housing</w:t>
      </w:r>
      <w:r w:rsidRPr="001568F4">
        <w:rPr>
          <w:sz w:val="18"/>
          <w:lang w:val="en-US"/>
        </w:rPr>
        <w:t xml:space="preserve">: AECOM’s estimate of the potential demand for affordable home ownership options suggest there may be a need for these homes in </w:t>
      </w:r>
      <w:r w:rsidR="00FE41A9">
        <w:rPr>
          <w:sz w:val="18"/>
          <w:lang w:val="en-US"/>
        </w:rPr>
        <w:t xml:space="preserve">Weymouth </w:t>
      </w:r>
      <w:r w:rsidRPr="001568F4">
        <w:rPr>
          <w:sz w:val="18"/>
          <w:lang w:val="en-US"/>
        </w:rPr>
        <w:t xml:space="preserve">to address the aspirations of households who can rent but can’t buy. AECOM’s estimate identified the potential demand for </w:t>
      </w:r>
      <w:r w:rsidR="00FE41A9">
        <w:rPr>
          <w:sz w:val="18"/>
          <w:lang w:val="en-US"/>
        </w:rPr>
        <w:t>up to 161</w:t>
      </w:r>
      <w:r w:rsidRPr="001568F4">
        <w:rPr>
          <w:sz w:val="18"/>
          <w:lang w:val="en-US"/>
        </w:rPr>
        <w:t xml:space="preserve"> homes</w:t>
      </w:r>
      <w:r w:rsidR="00FE41A9">
        <w:rPr>
          <w:sz w:val="18"/>
          <w:lang w:val="en-US"/>
        </w:rPr>
        <w:t xml:space="preserve"> per year (2,649</w:t>
      </w:r>
      <w:r w:rsidRPr="001568F4">
        <w:rPr>
          <w:sz w:val="18"/>
          <w:lang w:val="en-US"/>
        </w:rPr>
        <w:t xml:space="preserve"> over the plan period</w:t>
      </w:r>
      <w:r w:rsidR="00FE41A9">
        <w:rPr>
          <w:sz w:val="18"/>
          <w:lang w:val="en-US"/>
        </w:rPr>
        <w:t>)</w:t>
      </w:r>
      <w:r w:rsidRPr="001568F4">
        <w:rPr>
          <w:sz w:val="18"/>
          <w:lang w:val="en-US"/>
        </w:rPr>
        <w:t xml:space="preserve">. If </w:t>
      </w:r>
      <w:r w:rsidR="00FE41A9">
        <w:rPr>
          <w:sz w:val="18"/>
          <w:lang w:val="en-US"/>
        </w:rPr>
        <w:t xml:space="preserve">Weymouth </w:t>
      </w:r>
      <w:r w:rsidRPr="001568F4">
        <w:rPr>
          <w:sz w:val="18"/>
          <w:lang w:val="en-US"/>
        </w:rPr>
        <w:t xml:space="preserve">was to meet its share of </w:t>
      </w:r>
      <w:r w:rsidR="00FE41A9">
        <w:rPr>
          <w:sz w:val="18"/>
          <w:lang w:val="en-US"/>
        </w:rPr>
        <w:t>the</w:t>
      </w:r>
      <w:r w:rsidRPr="001568F4">
        <w:rPr>
          <w:sz w:val="18"/>
          <w:lang w:val="en-US"/>
        </w:rPr>
        <w:t xml:space="preserve"> need for social/affordable rented housing </w:t>
      </w:r>
      <w:r w:rsidR="00FE41A9">
        <w:rPr>
          <w:sz w:val="18"/>
          <w:lang w:val="en-US"/>
        </w:rPr>
        <w:t xml:space="preserve">as identified by the latest SHMA, </w:t>
      </w:r>
      <w:r w:rsidRPr="001568F4">
        <w:rPr>
          <w:sz w:val="18"/>
          <w:lang w:val="en-US"/>
        </w:rPr>
        <w:t>this would imply</w:t>
      </w:r>
      <w:r w:rsidR="00FE41A9">
        <w:rPr>
          <w:sz w:val="18"/>
          <w:lang w:val="en-US"/>
        </w:rPr>
        <w:t xml:space="preserve"> a minimum need for </w:t>
      </w:r>
      <w:r w:rsidR="00FE41A9" w:rsidRPr="00FE41A9">
        <w:rPr>
          <w:sz w:val="18"/>
          <w:szCs w:val="18"/>
        </w:rPr>
        <w:t>1,260</w:t>
      </w:r>
      <w:r w:rsidRPr="00FE41A9">
        <w:rPr>
          <w:sz w:val="18"/>
          <w:szCs w:val="18"/>
          <w:lang w:val="en-US"/>
        </w:rPr>
        <w:t xml:space="preserve"> </w:t>
      </w:r>
      <w:r w:rsidR="00FE41A9">
        <w:rPr>
          <w:sz w:val="18"/>
          <w:lang w:val="en-US"/>
        </w:rPr>
        <w:t xml:space="preserve">affordable rented </w:t>
      </w:r>
      <w:r w:rsidRPr="001568F4">
        <w:rPr>
          <w:sz w:val="18"/>
          <w:lang w:val="en-US"/>
        </w:rPr>
        <w:t>homes over the plan period.</w:t>
      </w:r>
      <w:r w:rsidR="00FE41A9">
        <w:rPr>
          <w:sz w:val="18"/>
          <w:lang w:val="en-US"/>
        </w:rPr>
        <w:t xml:space="preserve"> The SHMA also states an additional need of 30 affordable units for sale per year in Weymouth (equating to 515 over the Neighbourhood Plan period). This figure, AECOM take again to represent a minimum, with more affordable housing for sale desirable if possible. The proposed total minimum need for affordable housing over the Neighbourhood Plan period for Weymouth is therefore </w:t>
      </w:r>
      <w:r w:rsidR="00B325BA">
        <w:rPr>
          <w:sz w:val="18"/>
          <w:lang w:val="en-US"/>
        </w:rPr>
        <w:t>1,775 units (1,260 most urgently needed affordable housing for rent + 515 affordable housing for sale).</w:t>
      </w:r>
    </w:p>
    <w:p w14:paraId="706F7CEB" w14:textId="48B5AEE3" w:rsidR="001568F4" w:rsidRPr="000C2C22" w:rsidRDefault="001568F4" w:rsidP="00C81843">
      <w:pPr>
        <w:numPr>
          <w:ilvl w:val="0"/>
          <w:numId w:val="24"/>
        </w:numPr>
        <w:spacing w:after="120"/>
        <w:rPr>
          <w:sz w:val="18"/>
          <w:lang w:val="en-US"/>
        </w:rPr>
      </w:pPr>
      <w:r w:rsidRPr="000C2C22">
        <w:rPr>
          <w:b/>
          <w:sz w:val="18"/>
          <w:lang w:val="en-US"/>
        </w:rPr>
        <w:t>Can Affordable Housing needs be met in full?</w:t>
      </w:r>
      <w:r w:rsidRPr="000C2C22">
        <w:rPr>
          <w:sz w:val="18"/>
          <w:lang w:val="en-US"/>
        </w:rPr>
        <w:t xml:space="preserve"> </w:t>
      </w:r>
      <w:r w:rsidR="004B5B2E" w:rsidRPr="000C2C22">
        <w:rPr>
          <w:sz w:val="18"/>
          <w:lang w:val="en-US"/>
        </w:rPr>
        <w:t xml:space="preserve">The </w:t>
      </w:r>
      <w:r w:rsidR="00FE41A9" w:rsidRPr="000C2C22">
        <w:rPr>
          <w:sz w:val="18"/>
          <w:lang w:val="en-US"/>
        </w:rPr>
        <w:t xml:space="preserve">proposed </w:t>
      </w:r>
      <w:r w:rsidR="004B5B2E" w:rsidRPr="000C2C22">
        <w:rPr>
          <w:sz w:val="18"/>
          <w:lang w:val="en-US"/>
        </w:rPr>
        <w:t xml:space="preserve">HRF for </w:t>
      </w:r>
      <w:r w:rsidR="00FE41A9" w:rsidRPr="000C2C22">
        <w:rPr>
          <w:sz w:val="18"/>
          <w:lang w:val="en-US"/>
        </w:rPr>
        <w:t xml:space="preserve">Weymouth </w:t>
      </w:r>
      <w:r w:rsidR="004B5B2E" w:rsidRPr="000C2C22">
        <w:rPr>
          <w:sz w:val="18"/>
          <w:lang w:val="en-US"/>
        </w:rPr>
        <w:t xml:space="preserve">NA </w:t>
      </w:r>
      <w:r w:rsidR="00FE41A9" w:rsidRPr="000C2C22">
        <w:rPr>
          <w:sz w:val="18"/>
          <w:lang w:val="en-US"/>
        </w:rPr>
        <w:t xml:space="preserve">in the emerging new Local Plan </w:t>
      </w:r>
      <w:r w:rsidR="004B5B2E" w:rsidRPr="000C2C22">
        <w:rPr>
          <w:sz w:val="18"/>
          <w:lang w:val="en-US"/>
        </w:rPr>
        <w:t xml:space="preserve">is </w:t>
      </w:r>
      <w:r w:rsidR="00FE41A9" w:rsidRPr="000C2C22">
        <w:rPr>
          <w:rFonts w:asciiTheme="minorHAnsi" w:hAnsiTheme="minorHAnsi" w:cstheme="minorHAnsi"/>
          <w:color w:val="auto"/>
          <w:sz w:val="18"/>
          <w:szCs w:val="18"/>
        </w:rPr>
        <w:t>3,225</w:t>
      </w:r>
      <w:r w:rsidR="004B5B2E" w:rsidRPr="000C2C22">
        <w:rPr>
          <w:sz w:val="18"/>
          <w:lang w:val="en-US"/>
        </w:rPr>
        <w:t>.</w:t>
      </w:r>
      <w:r w:rsidR="00B325BA" w:rsidRPr="000C2C22">
        <w:rPr>
          <w:sz w:val="18"/>
          <w:lang w:val="en-US"/>
        </w:rPr>
        <w:t xml:space="preserve"> If this requirement was met in full, and if </w:t>
      </w:r>
      <w:r w:rsidR="000C2C22" w:rsidRPr="000C2C22">
        <w:rPr>
          <w:sz w:val="18"/>
          <w:lang w:val="en-US"/>
        </w:rPr>
        <w:t>35</w:t>
      </w:r>
      <w:r w:rsidR="00B325BA" w:rsidRPr="000C2C22">
        <w:rPr>
          <w:sz w:val="18"/>
          <w:lang w:val="en-US"/>
        </w:rPr>
        <w:t xml:space="preserve">% of the requirement were delivered as affordable in line with </w:t>
      </w:r>
      <w:r w:rsidR="000C2C22" w:rsidRPr="000C2C22">
        <w:rPr>
          <w:sz w:val="18"/>
          <w:lang w:val="en-US"/>
        </w:rPr>
        <w:t xml:space="preserve">adopted </w:t>
      </w:r>
      <w:r w:rsidR="00B325BA" w:rsidRPr="000C2C22">
        <w:rPr>
          <w:sz w:val="18"/>
          <w:lang w:val="en-US"/>
        </w:rPr>
        <w:t>policy</w:t>
      </w:r>
      <w:r w:rsidR="004955F0">
        <w:rPr>
          <w:sz w:val="18"/>
          <w:lang w:val="en-US"/>
        </w:rPr>
        <w:t xml:space="preserve"> (which is similar to the emerging policy, if the assumption is that housing will be delivered across the NA and not primarily in the town centre)</w:t>
      </w:r>
      <w:r w:rsidR="00B325BA" w:rsidRPr="000C2C22">
        <w:rPr>
          <w:sz w:val="18"/>
          <w:lang w:val="en-US"/>
        </w:rPr>
        <w:t xml:space="preserve">, this would therefore result in a maximum affordable housing delivery of </w:t>
      </w:r>
      <w:r w:rsidR="000C2C22" w:rsidRPr="000C2C22">
        <w:rPr>
          <w:sz w:val="18"/>
          <w:lang w:val="en-US"/>
        </w:rPr>
        <w:t>1,129</w:t>
      </w:r>
      <w:r w:rsidR="00B325BA" w:rsidRPr="000C2C22">
        <w:rPr>
          <w:sz w:val="18"/>
          <w:lang w:val="en-US"/>
        </w:rPr>
        <w:t xml:space="preserve">. </w:t>
      </w:r>
      <w:r w:rsidR="000C2C22" w:rsidRPr="000C2C22">
        <w:rPr>
          <w:sz w:val="18"/>
          <w:lang w:val="en-US"/>
        </w:rPr>
        <w:t>If the emerging new Local Plan is adopted</w:t>
      </w:r>
      <w:r w:rsidR="004955F0">
        <w:rPr>
          <w:sz w:val="18"/>
          <w:lang w:val="en-US"/>
        </w:rPr>
        <w:t xml:space="preserve"> and housing is primarily delivered in the town centre</w:t>
      </w:r>
      <w:r w:rsidR="000C2C22" w:rsidRPr="000C2C22">
        <w:rPr>
          <w:sz w:val="18"/>
          <w:lang w:val="en-US"/>
        </w:rPr>
        <w:t xml:space="preserve">, this delivery is likely to be lower, at about 25% and thus 806 units. </w:t>
      </w:r>
      <w:r w:rsidR="000C2C22" w:rsidRPr="00C607FA">
        <w:t xml:space="preserve"> </w:t>
      </w:r>
      <w:r w:rsidR="000C2C22" w:rsidRPr="000C2C22">
        <w:rPr>
          <w:sz w:val="18"/>
        </w:rPr>
        <w:t>If the majority or even just some of Weymouth’s HRF is expected to come forward in the form of small infill developments</w:t>
      </w:r>
      <w:r w:rsidR="000C2C22">
        <w:rPr>
          <w:sz w:val="18"/>
        </w:rPr>
        <w:t xml:space="preserve"> in future, once the new Local Plan is adopted</w:t>
      </w:r>
      <w:r w:rsidR="000C2C22" w:rsidRPr="000C2C22">
        <w:rPr>
          <w:sz w:val="18"/>
        </w:rPr>
        <w:t>, those schemes are unlikely to be large enough to meet the threshold of 10 dwellings, above which the emerging Affordable Housing policy will apply in the urban area of Weymouth. If that is the case, the potential delivery of Affordable Housing is likely to be lower still</w:t>
      </w:r>
      <w:r w:rsidR="000C2C22" w:rsidRPr="000C2C22">
        <w:rPr>
          <w:sz w:val="18"/>
          <w:lang w:val="en-US"/>
        </w:rPr>
        <w:t>.</w:t>
      </w:r>
      <w:r w:rsidR="000C2C22">
        <w:rPr>
          <w:sz w:val="18"/>
          <w:lang w:val="en-US"/>
        </w:rPr>
        <w:t xml:space="preserve"> </w:t>
      </w:r>
      <w:r w:rsidR="004B5B2E" w:rsidRPr="000C2C22">
        <w:rPr>
          <w:sz w:val="18"/>
          <w:lang w:val="en-US"/>
        </w:rPr>
        <w:t>Th</w:t>
      </w:r>
      <w:r w:rsidR="000C2C22">
        <w:rPr>
          <w:sz w:val="18"/>
          <w:lang w:val="en-US"/>
        </w:rPr>
        <w:t>e likely</w:t>
      </w:r>
      <w:r w:rsidR="004B5B2E" w:rsidRPr="000C2C22">
        <w:rPr>
          <w:sz w:val="18"/>
          <w:lang w:val="en-US"/>
        </w:rPr>
        <w:t xml:space="preserve"> level of housing delivery</w:t>
      </w:r>
      <w:r w:rsidR="00B325BA" w:rsidRPr="000C2C22">
        <w:rPr>
          <w:sz w:val="18"/>
          <w:lang w:val="en-US"/>
        </w:rPr>
        <w:t xml:space="preserve"> is thus highly unlikely to </w:t>
      </w:r>
      <w:r w:rsidR="004B5B2E" w:rsidRPr="000C2C22">
        <w:rPr>
          <w:sz w:val="18"/>
          <w:lang w:val="en-US"/>
        </w:rPr>
        <w:t>allow affordable housing needs to be met in full</w:t>
      </w:r>
      <w:r w:rsidR="00425A1A" w:rsidRPr="000C2C22">
        <w:rPr>
          <w:sz w:val="18"/>
          <w:lang w:val="en-US"/>
        </w:rPr>
        <w:t>.</w:t>
      </w:r>
      <w:r w:rsidRPr="000C2C22">
        <w:rPr>
          <w:sz w:val="18"/>
          <w:lang w:val="en-US"/>
        </w:rPr>
        <w:t xml:space="preserve"> This suggests some form of prioritisation will be required</w:t>
      </w:r>
      <w:r w:rsidR="00C607FA" w:rsidRPr="000C2C22">
        <w:rPr>
          <w:sz w:val="18"/>
          <w:lang w:val="en-US"/>
        </w:rPr>
        <w:t>.</w:t>
      </w:r>
      <w:r w:rsidRPr="000C2C22">
        <w:rPr>
          <w:sz w:val="18"/>
          <w:lang w:val="en-US"/>
        </w:rPr>
        <w:t xml:space="preserve"> In most cases, Councils will wish to prioritise the delivery of social/affordable rented homes to meet acute needs. However, considerations can differ subject to other considerations. </w:t>
      </w:r>
    </w:p>
    <w:p w14:paraId="5CD8DED0" w14:textId="108AAE89" w:rsidR="000C2C22" w:rsidRPr="000C2C22" w:rsidRDefault="001568F4" w:rsidP="000C2C22">
      <w:pPr>
        <w:numPr>
          <w:ilvl w:val="0"/>
          <w:numId w:val="24"/>
        </w:numPr>
        <w:spacing w:after="120"/>
        <w:rPr>
          <w:sz w:val="18"/>
          <w:lang w:val="en-US"/>
        </w:rPr>
      </w:pPr>
      <w:r w:rsidRPr="009951EE">
        <w:rPr>
          <w:b/>
          <w:sz w:val="18"/>
          <w:lang w:val="en-US"/>
        </w:rPr>
        <w:t>Government policy (e</w:t>
      </w:r>
      <w:r w:rsidR="000C2C22">
        <w:rPr>
          <w:b/>
          <w:sz w:val="18"/>
          <w:lang w:val="en-US"/>
        </w:rPr>
        <w:t>.</w:t>
      </w:r>
      <w:r w:rsidRPr="009951EE">
        <w:rPr>
          <w:b/>
          <w:sz w:val="18"/>
          <w:lang w:val="en-US"/>
        </w:rPr>
        <w:t>g</w:t>
      </w:r>
      <w:r w:rsidR="000C2C22">
        <w:rPr>
          <w:b/>
          <w:sz w:val="18"/>
          <w:lang w:val="en-US"/>
        </w:rPr>
        <w:t>.</w:t>
      </w:r>
      <w:r w:rsidRPr="009951EE">
        <w:rPr>
          <w:b/>
          <w:sz w:val="18"/>
          <w:lang w:val="en-US"/>
        </w:rPr>
        <w:t xml:space="preserve"> NPPF) requirements</w:t>
      </w:r>
      <w:r w:rsidRPr="001568F4">
        <w:rPr>
          <w:sz w:val="18"/>
          <w:lang w:val="en-US"/>
        </w:rPr>
        <w:t xml:space="preserve">: current NPPF policy requires 10% of all homes to be delivered for affordable home ownership. There can be exceptions to this requirement if it would prevent the delivery of other forms of Affordable Housing. </w:t>
      </w:r>
      <w:r w:rsidR="00C8366B" w:rsidRPr="00B119D2">
        <w:rPr>
          <w:sz w:val="18"/>
          <w:szCs w:val="18"/>
        </w:rPr>
        <w:t xml:space="preserve">Based on the findings of this </w:t>
      </w:r>
      <w:r w:rsidR="00C8366B">
        <w:rPr>
          <w:sz w:val="18"/>
          <w:szCs w:val="18"/>
        </w:rPr>
        <w:t>HNA</w:t>
      </w:r>
      <w:r w:rsidR="00B325BA">
        <w:rPr>
          <w:sz w:val="18"/>
          <w:szCs w:val="18"/>
        </w:rPr>
        <w:t>,</w:t>
      </w:r>
      <w:r w:rsidR="00C8366B">
        <w:rPr>
          <w:sz w:val="18"/>
          <w:szCs w:val="18"/>
        </w:rPr>
        <w:t xml:space="preserve"> delivery </w:t>
      </w:r>
      <w:r w:rsidR="00B325BA">
        <w:rPr>
          <w:sz w:val="18"/>
          <w:szCs w:val="18"/>
        </w:rPr>
        <w:t xml:space="preserve">of </w:t>
      </w:r>
      <w:r w:rsidR="00C8366B">
        <w:rPr>
          <w:sz w:val="18"/>
          <w:szCs w:val="18"/>
        </w:rPr>
        <w:t>10% of homes as affordable home ownership would impact on the ability to deliver social/affordable rented homes</w:t>
      </w:r>
      <w:r w:rsidR="000C2C22">
        <w:rPr>
          <w:sz w:val="18"/>
          <w:szCs w:val="18"/>
        </w:rPr>
        <w:t xml:space="preserve">, as the need for housing for affordable rent in Weymouth exceeds the total estimated maximum delivery of all affordable housing in line with </w:t>
      </w:r>
      <w:r w:rsidR="00714A04">
        <w:rPr>
          <w:sz w:val="18"/>
          <w:szCs w:val="18"/>
        </w:rPr>
        <w:t xml:space="preserve">adopted or </w:t>
      </w:r>
      <w:r w:rsidR="000C2C22">
        <w:rPr>
          <w:sz w:val="18"/>
          <w:szCs w:val="18"/>
        </w:rPr>
        <w:t>emerging Local Plan policy</w:t>
      </w:r>
      <w:r w:rsidR="00C8366B">
        <w:rPr>
          <w:sz w:val="18"/>
          <w:szCs w:val="18"/>
        </w:rPr>
        <w:t>.</w:t>
      </w:r>
    </w:p>
    <w:p w14:paraId="06D172DC" w14:textId="25BBC92F" w:rsidR="001E1743" w:rsidRPr="000C2C22" w:rsidRDefault="00C607FA" w:rsidP="000C2C22">
      <w:pPr>
        <w:numPr>
          <w:ilvl w:val="0"/>
          <w:numId w:val="24"/>
        </w:numPr>
        <w:spacing w:after="120"/>
        <w:rPr>
          <w:sz w:val="18"/>
          <w:lang w:val="en-US"/>
        </w:rPr>
      </w:pPr>
      <w:r w:rsidRPr="000C2C22">
        <w:rPr>
          <w:b/>
          <w:sz w:val="18"/>
          <w:lang w:val="en-US"/>
        </w:rPr>
        <w:t xml:space="preserve">Emerging </w:t>
      </w:r>
      <w:r w:rsidR="000C2C22" w:rsidRPr="000C2C22">
        <w:rPr>
          <w:b/>
          <w:sz w:val="18"/>
          <w:lang w:val="en-US"/>
        </w:rPr>
        <w:t xml:space="preserve">government </w:t>
      </w:r>
      <w:r w:rsidRPr="000C2C22">
        <w:rPr>
          <w:b/>
          <w:sz w:val="18"/>
          <w:lang w:val="en-US"/>
        </w:rPr>
        <w:t xml:space="preserve">policy: </w:t>
      </w:r>
      <w:r w:rsidR="001568F4" w:rsidRPr="000C2C22">
        <w:rPr>
          <w:sz w:val="18"/>
          <w:lang w:val="en-US"/>
        </w:rPr>
        <w:t xml:space="preserve"> </w:t>
      </w:r>
      <w:bookmarkStart w:id="116" w:name="_Hlk49948736"/>
      <w:r w:rsidR="00657F4D">
        <w:rPr>
          <w:sz w:val="18"/>
          <w:lang w:val="en-US"/>
        </w:rPr>
        <w:t>T</w:t>
      </w:r>
      <w:r w:rsidR="001568F4" w:rsidRPr="000C2C22">
        <w:rPr>
          <w:sz w:val="18"/>
          <w:lang w:val="en-US"/>
        </w:rPr>
        <w:t xml:space="preserve">he Government is currently consulting on the introduction of First Homes (to provide at least 30% discount on new build home prices). </w:t>
      </w:r>
      <w:r w:rsidR="00712408" w:rsidRPr="000C2C22">
        <w:rPr>
          <w:sz w:val="18"/>
          <w:lang w:val="en-US"/>
        </w:rPr>
        <w:t>The most recent consultation outlines the Government’s intention to require that a minimum of 25% of all Affordable Housing secured through developer contributions should be first homes</w:t>
      </w:r>
      <w:r w:rsidR="001568F4" w:rsidRPr="000C2C22">
        <w:rPr>
          <w:sz w:val="18"/>
          <w:lang w:val="en-US"/>
        </w:rPr>
        <w:t>.</w:t>
      </w:r>
      <w:r w:rsidR="00E23C28">
        <w:rPr>
          <w:rStyle w:val="FootnoteReference"/>
          <w:sz w:val="18"/>
          <w:lang w:val="en-US"/>
        </w:rPr>
        <w:footnoteReference w:id="32"/>
      </w:r>
      <w:r w:rsidR="001568F4" w:rsidRPr="000C2C22">
        <w:rPr>
          <w:sz w:val="18"/>
          <w:lang w:val="en-US"/>
        </w:rPr>
        <w:t xml:space="preserve"> The outcome of this consultation and the policy which emerges may shape the provision of different forms of Affordable Housing on new development sites,</w:t>
      </w:r>
      <w:r w:rsidR="00BB2E83" w:rsidRPr="000C2C22">
        <w:rPr>
          <w:sz w:val="18"/>
          <w:lang w:val="en-US"/>
        </w:rPr>
        <w:t xml:space="preserve"> and t</w:t>
      </w:r>
      <w:r w:rsidR="001568F4" w:rsidRPr="000C2C22">
        <w:rPr>
          <w:sz w:val="18"/>
          <w:lang w:val="en-US"/>
        </w:rPr>
        <w:t>he neighbourhood group will need to keep this emerging policy in mind when developing its Neighbourhood Plan policies.</w:t>
      </w:r>
      <w:bookmarkEnd w:id="116"/>
      <w:r w:rsidR="001E1743" w:rsidRPr="000C2C22">
        <w:rPr>
          <w:sz w:val="18"/>
          <w:lang w:val="en-US"/>
        </w:rPr>
        <w:t xml:space="preserve"> </w:t>
      </w:r>
    </w:p>
    <w:p w14:paraId="519B82D4" w14:textId="1C19CF01" w:rsidR="001E1743" w:rsidRPr="00C13A71" w:rsidRDefault="001E1743" w:rsidP="001E1743">
      <w:pPr>
        <w:pStyle w:val="ListParagraph"/>
        <w:spacing w:after="120"/>
        <w:ind w:left="1210"/>
        <w:rPr>
          <w:sz w:val="18"/>
          <w:lang w:val="en-US"/>
        </w:rPr>
      </w:pPr>
      <w:r w:rsidRPr="00C13A71">
        <w:rPr>
          <w:sz w:val="18"/>
          <w:lang w:val="en-US"/>
        </w:rPr>
        <w:t>The August 2020 proposals relating to First Homes convey the Government’s intention to require that 25% of all Affordable Housing is delivered as First Homes. The 25% First Homes requirement is likely to displace other affordable home ownership products in the first instance. Those affordable home ownership products providing the lowest discount should be displaced first. However, affordable rented products may also be affected depending on the tenure mix sought (</w:t>
      </w:r>
      <w:r w:rsidR="000C2C22">
        <w:rPr>
          <w:sz w:val="18"/>
          <w:lang w:val="en-US"/>
        </w:rPr>
        <w:t xml:space="preserve">particularly in Weymouth as the most urgent need for affordable housing for rent exceeds likely total delivery of affordable housing </w:t>
      </w:r>
      <w:r w:rsidRPr="00C13A71">
        <w:rPr>
          <w:sz w:val="18"/>
          <w:lang w:val="en-US"/>
        </w:rPr>
        <w:t xml:space="preserve">i.e. </w:t>
      </w:r>
      <w:r w:rsidR="00C81843">
        <w:rPr>
          <w:sz w:val="18"/>
          <w:lang w:val="en-US"/>
        </w:rPr>
        <w:t>as</w:t>
      </w:r>
      <w:r w:rsidRPr="00C13A71">
        <w:rPr>
          <w:sz w:val="18"/>
          <w:lang w:val="en-US"/>
        </w:rPr>
        <w:t xml:space="preserve"> more than 75% of affordable housing </w:t>
      </w:r>
      <w:r w:rsidR="00C81843">
        <w:rPr>
          <w:sz w:val="18"/>
          <w:lang w:val="en-US"/>
        </w:rPr>
        <w:t>would be recommended to be</w:t>
      </w:r>
      <w:r w:rsidRPr="00C13A71">
        <w:rPr>
          <w:sz w:val="18"/>
          <w:lang w:val="en-US"/>
        </w:rPr>
        <w:t xml:space="preserve"> intended as affordable rent</w:t>
      </w:r>
      <w:r w:rsidR="00714A04">
        <w:rPr>
          <w:sz w:val="18"/>
          <w:lang w:val="en-US"/>
        </w:rPr>
        <w:t xml:space="preserve"> to cover the most urgent need</w:t>
      </w:r>
      <w:r w:rsidRPr="00C13A71">
        <w:rPr>
          <w:sz w:val="18"/>
          <w:lang w:val="en-US"/>
        </w:rPr>
        <w:t xml:space="preserve">, this would need to be reduced to a maximum of 75% affordable rent so that First Homes can constitute 25% of all affordable housing). As yet, it is unclear whether there will be any flexibility over this 25% requirement to take account of local circumstances. </w:t>
      </w:r>
    </w:p>
    <w:p w14:paraId="02CA092A" w14:textId="1EFBFCC9" w:rsidR="00706B3E" w:rsidRPr="00C81843" w:rsidRDefault="001568F4" w:rsidP="00C81843">
      <w:pPr>
        <w:pStyle w:val="ListNumber"/>
        <w:numPr>
          <w:ilvl w:val="0"/>
          <w:numId w:val="24"/>
        </w:numPr>
      </w:pPr>
      <w:r w:rsidRPr="00C81843">
        <w:rPr>
          <w:b/>
        </w:rPr>
        <w:t>Local Plan policy</w:t>
      </w:r>
      <w:r w:rsidRPr="00C81843">
        <w:t xml:space="preserve">: </w:t>
      </w:r>
      <w:r w:rsidR="00C81843" w:rsidRPr="00C81843">
        <w:t xml:space="preserve">Dorset’s </w:t>
      </w:r>
      <w:r w:rsidR="00C81843">
        <w:t>adopted Local Plan policy</w:t>
      </w:r>
      <w:r w:rsidR="00C81843" w:rsidRPr="00840C40">
        <w:t xml:space="preserve"> suggests a </w:t>
      </w:r>
      <w:r w:rsidR="00C81843" w:rsidRPr="00C81843">
        <w:rPr>
          <w:rFonts w:eastAsiaTheme="minorHAnsi"/>
        </w:rPr>
        <w:t xml:space="preserve">split of minimum 70% social / affordable rent and maximum 30% intermediate affordable housing, unless identified local needs indicate that alternative provision would be appropriate; and the </w:t>
      </w:r>
      <w:r w:rsidR="00C81843" w:rsidRPr="00840C40">
        <w:t xml:space="preserve">emerging new Local Plan </w:t>
      </w:r>
      <w:r w:rsidR="00C81843" w:rsidRPr="00C81843">
        <w:rPr>
          <w:rFonts w:eastAsiaTheme="minorHAnsi"/>
        </w:rPr>
        <w:t xml:space="preserve">proposes a </w:t>
      </w:r>
      <w:r w:rsidR="00714A04">
        <w:rPr>
          <w:rFonts w:eastAsiaTheme="minorHAnsi"/>
        </w:rPr>
        <w:t xml:space="preserve">similar </w:t>
      </w:r>
      <w:r w:rsidR="00C81843" w:rsidRPr="00C81843">
        <w:rPr>
          <w:rFonts w:eastAsiaTheme="minorHAnsi"/>
        </w:rPr>
        <w:t>split of maximum 30% (but not less than 10%) affordable home ownership products and minimum of 70% affordable housing for rent</w:t>
      </w:r>
      <w:r w:rsidR="00714A04">
        <w:rPr>
          <w:rFonts w:eastAsiaTheme="minorHAnsi"/>
        </w:rPr>
        <w:t xml:space="preserve"> (social and affordable rent together)</w:t>
      </w:r>
      <w:r w:rsidR="00C81843" w:rsidRPr="00C81843">
        <w:rPr>
          <w:rFonts w:eastAsiaTheme="minorHAnsi"/>
        </w:rPr>
        <w:t xml:space="preserve">. </w:t>
      </w:r>
      <w:bookmarkStart w:id="117" w:name="_Hlk49948923"/>
      <w:r w:rsidR="00BB2E83" w:rsidRPr="00C81843">
        <w:t>The August 2020 proposals relating to First Homes convey the Government’s intention to require that 25% of all Affordable Housing is delivered as First Homes</w:t>
      </w:r>
      <w:r w:rsidR="00C81843">
        <w:t>, which could be accommodated within either split</w:t>
      </w:r>
      <w:r w:rsidR="00BB2E83" w:rsidRPr="00C81843">
        <w:t xml:space="preserve">. </w:t>
      </w:r>
    </w:p>
    <w:bookmarkEnd w:id="117"/>
    <w:p w14:paraId="4BEA386E" w14:textId="0D5BEC74" w:rsidR="001568F4" w:rsidRPr="001568F4" w:rsidRDefault="001568F4" w:rsidP="00A676E3">
      <w:pPr>
        <w:numPr>
          <w:ilvl w:val="0"/>
          <w:numId w:val="24"/>
        </w:numPr>
        <w:spacing w:after="120"/>
        <w:rPr>
          <w:sz w:val="18"/>
          <w:lang w:val="en-US"/>
        </w:rPr>
      </w:pPr>
      <w:r w:rsidRPr="009951EE">
        <w:rPr>
          <w:b/>
          <w:sz w:val="18"/>
          <w:lang w:val="en-US"/>
        </w:rPr>
        <w:t>Viability</w:t>
      </w:r>
      <w:r w:rsidRPr="001568F4">
        <w:rPr>
          <w:sz w:val="18"/>
          <w:lang w:val="en-US"/>
        </w:rPr>
        <w:t>: HNAs cannot take into consideration the factors which affect viability in the neighbourhood area or at the site specific level. Viability issues are recogni</w:t>
      </w:r>
      <w:r w:rsidR="00E23C28">
        <w:rPr>
          <w:sz w:val="18"/>
          <w:lang w:val="en-US"/>
        </w:rPr>
        <w:t>s</w:t>
      </w:r>
      <w:r w:rsidRPr="001568F4">
        <w:rPr>
          <w:sz w:val="18"/>
          <w:lang w:val="en-US"/>
        </w:rPr>
        <w:t xml:space="preserve">ed in the Council’s </w:t>
      </w:r>
      <w:r w:rsidR="00E23C28">
        <w:rPr>
          <w:sz w:val="18"/>
          <w:lang w:val="en-US"/>
        </w:rPr>
        <w:t>adopted/</w:t>
      </w:r>
      <w:r w:rsidRPr="001568F4">
        <w:rPr>
          <w:sz w:val="18"/>
          <w:lang w:val="en-US"/>
        </w:rPr>
        <w:t xml:space="preserve">emerging Local Plan and it is acknowledged that this may affect the provision of affordable housing and/or the mix of tenures provided. </w:t>
      </w:r>
    </w:p>
    <w:p w14:paraId="7383AC99" w14:textId="1E5876EA" w:rsidR="001568F4" w:rsidRPr="001568F4" w:rsidRDefault="001568F4" w:rsidP="00A676E3">
      <w:pPr>
        <w:numPr>
          <w:ilvl w:val="0"/>
          <w:numId w:val="24"/>
        </w:numPr>
        <w:spacing w:after="120"/>
        <w:rPr>
          <w:sz w:val="18"/>
          <w:lang w:val="en-US"/>
        </w:rPr>
      </w:pPr>
      <w:r w:rsidRPr="009951EE">
        <w:rPr>
          <w:b/>
          <w:sz w:val="18"/>
          <w:lang w:val="en-US"/>
        </w:rPr>
        <w:t>Funding</w:t>
      </w:r>
      <w:r w:rsidRPr="001568F4">
        <w:rPr>
          <w:sz w:val="18"/>
          <w:lang w:val="en-US"/>
        </w:rPr>
        <w:t xml:space="preserve">: the availability of funding to support the delivery of different forms of Affordable Housing may also influence what it is appropriate to provide at a particular point in time or on any one site. The neighbourhood group may wish to keep </w:t>
      </w:r>
      <w:r w:rsidR="00E23C28">
        <w:rPr>
          <w:sz w:val="18"/>
          <w:lang w:val="en-US"/>
        </w:rPr>
        <w:t xml:space="preserve">this in mind </w:t>
      </w:r>
      <w:r w:rsidRPr="001568F4">
        <w:rPr>
          <w:sz w:val="18"/>
          <w:lang w:val="en-US"/>
        </w:rPr>
        <w:t xml:space="preserve">so that it can take up any opportunities to secure funding if they become available. </w:t>
      </w:r>
    </w:p>
    <w:p w14:paraId="1D816537" w14:textId="51082A1B" w:rsidR="001568F4" w:rsidRDefault="001568F4" w:rsidP="00A676E3">
      <w:pPr>
        <w:numPr>
          <w:ilvl w:val="0"/>
          <w:numId w:val="24"/>
        </w:numPr>
        <w:spacing w:after="120"/>
        <w:rPr>
          <w:sz w:val="18"/>
          <w:lang w:val="en-US"/>
        </w:rPr>
      </w:pPr>
      <w:r w:rsidRPr="009951EE">
        <w:rPr>
          <w:b/>
          <w:sz w:val="18"/>
          <w:lang w:val="en-US"/>
        </w:rPr>
        <w:t xml:space="preserve">Existing tenure mix in </w:t>
      </w:r>
      <w:r w:rsidR="00C81843">
        <w:rPr>
          <w:b/>
          <w:sz w:val="18"/>
          <w:lang w:val="en-US"/>
        </w:rPr>
        <w:t>Weymouth</w:t>
      </w:r>
      <w:r w:rsidRPr="001568F4">
        <w:rPr>
          <w:sz w:val="18"/>
          <w:lang w:val="en-US"/>
        </w:rPr>
        <w:t>:</w:t>
      </w:r>
      <w:r w:rsidR="00C81843">
        <w:rPr>
          <w:sz w:val="18"/>
          <w:lang w:val="en-US"/>
        </w:rPr>
        <w:t xml:space="preserve"> In line with Census data, the tenure mix of current households in Weymouth includes a sizable share of households living locally in socially rented properties (13.7</w:t>
      </w:r>
      <w:r w:rsidR="00A05781">
        <w:rPr>
          <w:sz w:val="18"/>
          <w:lang w:val="en-US"/>
        </w:rPr>
        <w:t>%</w:t>
      </w:r>
      <w:r w:rsidR="00C81843">
        <w:rPr>
          <w:sz w:val="18"/>
          <w:lang w:val="en-US"/>
        </w:rPr>
        <w:t>, which is higher than the Dorset average but lower than the national percentage), while only 0.6 of households live in shared ownership (similarly to the regional and national average).</w:t>
      </w:r>
      <w:r w:rsidRPr="001568F4">
        <w:rPr>
          <w:sz w:val="18"/>
          <w:lang w:val="en-US"/>
        </w:rPr>
        <w:t xml:space="preserve"> This suggests that some provision of Affordable Housing</w:t>
      </w:r>
      <w:r w:rsidR="00C81843">
        <w:rPr>
          <w:sz w:val="18"/>
          <w:lang w:val="en-US"/>
        </w:rPr>
        <w:t xml:space="preserve"> for sale</w:t>
      </w:r>
      <w:r w:rsidRPr="001568F4">
        <w:rPr>
          <w:sz w:val="18"/>
          <w:lang w:val="en-US"/>
        </w:rPr>
        <w:t xml:space="preserve"> would offer a wider choice of homes for local residents and, importantly, may allow those on lower incomes including newly forming households and younger families to remain in or move to the area</w:t>
      </w:r>
      <w:r w:rsidR="00C81843">
        <w:rPr>
          <w:sz w:val="18"/>
          <w:lang w:val="en-US"/>
        </w:rPr>
        <w:t xml:space="preserve"> and realise aspirations of home ownership.</w:t>
      </w:r>
    </w:p>
    <w:p w14:paraId="0814BDBC" w14:textId="6640D837" w:rsidR="001568F4" w:rsidRPr="001568F4" w:rsidRDefault="001568F4" w:rsidP="00A676E3">
      <w:pPr>
        <w:numPr>
          <w:ilvl w:val="0"/>
          <w:numId w:val="24"/>
        </w:numPr>
        <w:spacing w:after="120"/>
        <w:rPr>
          <w:sz w:val="18"/>
          <w:lang w:val="en-US"/>
        </w:rPr>
      </w:pPr>
      <w:r w:rsidRPr="009951EE">
        <w:rPr>
          <w:b/>
          <w:sz w:val="18"/>
          <w:lang w:val="en-US"/>
        </w:rPr>
        <w:t>Views of registered providers</w:t>
      </w:r>
      <w:r w:rsidRPr="001568F4">
        <w:rPr>
          <w:sz w:val="18"/>
          <w:lang w:val="en-US"/>
        </w:rPr>
        <w:t xml:space="preserve">: it is not within the scope of this HNA to investigate whether it would be viable for housing associations (registered providers) to deliver and manage affordable rented homes in this area.  </w:t>
      </w:r>
    </w:p>
    <w:p w14:paraId="1EBF851A" w14:textId="40B93768" w:rsidR="001568F4" w:rsidRPr="001568F4" w:rsidRDefault="001568F4" w:rsidP="00A676E3">
      <w:pPr>
        <w:numPr>
          <w:ilvl w:val="0"/>
          <w:numId w:val="24"/>
        </w:numPr>
        <w:spacing w:after="120"/>
        <w:rPr>
          <w:sz w:val="18"/>
          <w:lang w:val="en-US"/>
        </w:rPr>
      </w:pPr>
      <w:r w:rsidRPr="00C607FA">
        <w:rPr>
          <w:b/>
          <w:sz w:val="18"/>
          <w:lang w:val="en-US"/>
        </w:rPr>
        <w:t>Wider policy objectives</w:t>
      </w:r>
      <w:r w:rsidRPr="001568F4">
        <w:rPr>
          <w:sz w:val="18"/>
          <w:lang w:val="en-US"/>
        </w:rPr>
        <w:t xml:space="preserve">: the neighbourhood group may wish to take account of broader policy objectives for </w:t>
      </w:r>
      <w:r w:rsidR="001A1D3C">
        <w:rPr>
          <w:sz w:val="18"/>
          <w:lang w:val="en-US"/>
        </w:rPr>
        <w:t xml:space="preserve">Weymouth </w:t>
      </w:r>
      <w:r w:rsidRPr="001568F4">
        <w:rPr>
          <w:sz w:val="18"/>
          <w:lang w:val="en-US"/>
        </w:rPr>
        <w:t xml:space="preserve">and/or the wider </w:t>
      </w:r>
      <w:r w:rsidR="001A1D3C">
        <w:rPr>
          <w:sz w:val="18"/>
          <w:lang w:val="en-US"/>
        </w:rPr>
        <w:t>Dorset area</w:t>
      </w:r>
      <w:r w:rsidRPr="001568F4">
        <w:rPr>
          <w:sz w:val="18"/>
          <w:lang w:val="en-US"/>
        </w:rPr>
        <w:t xml:space="preserve">. These could include, but are not restricted to, policies to attract </w:t>
      </w:r>
      <w:r w:rsidR="00A05781">
        <w:rPr>
          <w:sz w:val="18"/>
          <w:lang w:val="en-US"/>
        </w:rPr>
        <w:t xml:space="preserve">more </w:t>
      </w:r>
      <w:r w:rsidRPr="001568F4">
        <w:rPr>
          <w:sz w:val="18"/>
          <w:lang w:val="en-US"/>
        </w:rPr>
        <w:t>younger households, families or working age people to the Neighbourhood Area</w:t>
      </w:r>
      <w:r w:rsidR="001A1D3C">
        <w:rPr>
          <w:sz w:val="18"/>
          <w:lang w:val="en-US"/>
        </w:rPr>
        <w:t xml:space="preserve"> or to </w:t>
      </w:r>
      <w:r w:rsidR="0098046F">
        <w:rPr>
          <w:sz w:val="18"/>
          <w:lang w:val="en-US"/>
        </w:rPr>
        <w:t xml:space="preserve">appropriately and </w:t>
      </w:r>
      <w:r w:rsidR="001A1D3C">
        <w:rPr>
          <w:sz w:val="18"/>
          <w:lang w:val="en-US"/>
        </w:rPr>
        <w:t>affordably accommodate local older people or single households with limited means</w:t>
      </w:r>
      <w:r w:rsidRPr="001568F4">
        <w:rPr>
          <w:sz w:val="18"/>
          <w:lang w:val="en-US"/>
        </w:rPr>
        <w:t xml:space="preserve">. These wider considerations may influence the mix of Affordable Housing provided. </w:t>
      </w:r>
    </w:p>
    <w:p w14:paraId="5B585D18" w14:textId="05EFF9A4" w:rsidR="00C13A71" w:rsidRPr="00C13A71" w:rsidRDefault="00C13A71" w:rsidP="00A82210">
      <w:pPr>
        <w:pStyle w:val="ListNumber"/>
      </w:pPr>
      <w:r w:rsidRPr="00C13A71">
        <w:t>In Table</w:t>
      </w:r>
      <w:r w:rsidR="00657F4D">
        <w:t xml:space="preserve"> 4-9</w:t>
      </w:r>
      <w:r w:rsidRPr="00C13A71">
        <w:t xml:space="preserve"> below, two alternative scenarios for the tenure mix of Affordable Housing in </w:t>
      </w:r>
      <w:r w:rsidR="0015105E">
        <w:t>Weymouth</w:t>
      </w:r>
      <w:r w:rsidRPr="00C13A71">
        <w:t xml:space="preserve"> are presented. Note that we assume, in accordance with current practice, that most Affordable Housing will be brought forward through developer contributions. If the neighbourhood planners are considering delivering Affordable Housing through other means, the national policy requirements reflected here may not apply.</w:t>
      </w:r>
    </w:p>
    <w:p w14:paraId="67F8394F" w14:textId="24CC2B5A" w:rsidR="00C13A71" w:rsidRPr="00C13A71" w:rsidRDefault="00C13A71" w:rsidP="00A82210">
      <w:pPr>
        <w:pStyle w:val="ListNumber"/>
      </w:pPr>
      <w:r w:rsidRPr="00C13A71">
        <w:t>The first scenario (</w:t>
      </w:r>
      <w:r>
        <w:t>Mix</w:t>
      </w:r>
      <w:r w:rsidRPr="00C13A71">
        <w:t xml:space="preserve"> 1 – Indicative mix based on local needs) most closely reflects local needs in </w:t>
      </w:r>
      <w:r w:rsidR="0015105E">
        <w:t>Weymouth</w:t>
      </w:r>
      <w:r w:rsidRPr="00C13A71">
        <w:t xml:space="preserve"> as identified in the HNA evidence,</w:t>
      </w:r>
      <w:r w:rsidR="00646027">
        <w:t xml:space="preserve"> considering that despite the very considerable need for affordable housing for rent, some affordable housing for sale supply is also advisable to ensure variety. This also conforms to the</w:t>
      </w:r>
      <w:r w:rsidRPr="00646027">
        <w:t xml:space="preserve"> target tenure split set out in the </w:t>
      </w:r>
      <w:r w:rsidR="00646027" w:rsidRPr="00646027">
        <w:t xml:space="preserve">adopted and emerging </w:t>
      </w:r>
      <w:r w:rsidRPr="00646027">
        <w:t xml:space="preserve">Local Plan, </w:t>
      </w:r>
      <w:r w:rsidR="00646027" w:rsidRPr="00646027">
        <w:t xml:space="preserve">of a minimum 70% affordable housing for rent and a minimum of 10% affordable home ownership products - </w:t>
      </w:r>
      <w:r w:rsidRPr="00646027">
        <w:t xml:space="preserve">with </w:t>
      </w:r>
      <w:r w:rsidR="00646027">
        <w:t>90</w:t>
      </w:r>
      <w:r w:rsidRPr="00646027">
        <w:t xml:space="preserve">% of affordable homes as rented tenures and </w:t>
      </w:r>
      <w:r w:rsidR="00646027">
        <w:t>10</w:t>
      </w:r>
      <w:r w:rsidRPr="00646027">
        <w:t>% as routes to ownership.</w:t>
      </w:r>
      <w:r w:rsidRPr="00C13A71">
        <w:t xml:space="preserve"> </w:t>
      </w:r>
    </w:p>
    <w:p w14:paraId="38BB7DF7" w14:textId="3119B771" w:rsidR="00C13A71" w:rsidRDefault="00C13A71" w:rsidP="00A82210">
      <w:pPr>
        <w:pStyle w:val="ListNumber"/>
      </w:pPr>
      <w:r w:rsidRPr="00C13A71">
        <w:t>The second scenario (</w:t>
      </w:r>
      <w:r>
        <w:t>Mix</w:t>
      </w:r>
      <w:r w:rsidRPr="00C13A71">
        <w:t xml:space="preserve"> 2 – Indicative mix with 25% First Homes requirement) is aligned with the direction of travel in the Government’s most recent policy proposals, in which it is intended that 25% of all Affordable Housing will be required to be provided as First Homes. This outcome is more likely than the first scenario, because the Government proposals are at an advanced stage of development. However, this is proposed here as one of two alternative scenarios in case the First Homes policy proposals do not progress. </w:t>
      </w:r>
      <w:r w:rsidRPr="00646027">
        <w:t xml:space="preserve">Given that First Homes have been found to be generally not affordable to local people in </w:t>
      </w:r>
      <w:r w:rsidR="0015105E" w:rsidRPr="00646027">
        <w:t>Weymouth</w:t>
      </w:r>
      <w:r w:rsidRPr="00646027">
        <w:t>,  if the Government proposal requiring 25% First Homes does not come forward as currently proposed, it is recommended that the neighbourhood planners revert to the other indicative mix as their starting point for policy development in this area.</w:t>
      </w:r>
    </w:p>
    <w:p w14:paraId="5EEAB95F" w14:textId="77777777" w:rsidR="00A96743" w:rsidRPr="00C13A71" w:rsidRDefault="00A96743" w:rsidP="00A96743">
      <w:pPr>
        <w:pStyle w:val="ListNumber"/>
      </w:pPr>
      <w:r w:rsidRPr="00C13A71">
        <w:t xml:space="preserve">Note also that the Government proposals state that if First Homes are required at 25% of Affordable Housing that comes forward through developer contributions and this results in displacing other tenures within the affordable mix, the tenure products providing the lowest effective discount should be displaced in the first instance. In this case, </w:t>
      </w:r>
      <w:r w:rsidRPr="00920167">
        <w:t xml:space="preserve">the suggested affordable routes to home ownership which is </w:t>
      </w:r>
      <w:r>
        <w:t xml:space="preserve">relatively </w:t>
      </w:r>
      <w:r w:rsidRPr="00920167">
        <w:t>less affordable to local households in line with our analysis (the 5% proposed for rent to buy) would be displaced, with a further 20% of affordable rented homes also replaced by First Homes.</w:t>
      </w:r>
    </w:p>
    <w:p w14:paraId="429F43BD" w14:textId="097E2961" w:rsidR="00A96743" w:rsidRPr="00C13A71" w:rsidRDefault="00A96743" w:rsidP="00A82210">
      <w:pPr>
        <w:pStyle w:val="ListNumber"/>
      </w:pPr>
      <w:r w:rsidRPr="00A96743">
        <w:t xml:space="preserve">As noted </w:t>
      </w:r>
      <w:r>
        <w:t>previously</w:t>
      </w:r>
      <w:r w:rsidRPr="00A96743">
        <w:t xml:space="preserve">, the August 2020 proposals </w:t>
      </w:r>
      <w:r>
        <w:t xml:space="preserve">in relation to First Homes </w:t>
      </w:r>
      <w:r w:rsidRPr="00A96743">
        <w:t>present options on how the make-up of the tenure mix of the remaining 75% of affordable housing should be determined</w:t>
      </w:r>
      <w:r>
        <w:t>. O</w:t>
      </w:r>
      <w:r w:rsidRPr="00A96743">
        <w:t xml:space="preserve">ption one is to maintain as far as possible the affordable rented </w:t>
      </w:r>
      <w:r>
        <w:t>proportion</w:t>
      </w:r>
      <w:r w:rsidRPr="00A96743">
        <w:t xml:space="preserve">, while a second option would allow greater flexibility. It is unknown at this time which option will be pursued. In the case of </w:t>
      </w:r>
      <w:r>
        <w:t>Weymouth</w:t>
      </w:r>
      <w:r w:rsidRPr="00A96743">
        <w:t xml:space="preserve">, the evidence here suggests that if flexibility is available for the remaining 75%, then the ratio of affordable housing for rent should be adjusted down to allow for a small quantity of </w:t>
      </w:r>
      <w:r>
        <w:t>shared ownership</w:t>
      </w:r>
      <w:r w:rsidRPr="00A96743">
        <w:t xml:space="preserve"> products because these appear particularly suitable </w:t>
      </w:r>
      <w:r>
        <w:t>in this location, and this would help to preserve diversity and choice within the affordable mix.</w:t>
      </w:r>
      <w:r w:rsidRPr="00A96743">
        <w:t xml:space="preserve"> However, if the Government pursue option one then it could be the case that Mix 2 would comprise 25% First Homes and 75% affordable housing for rent. Although this should be discussed with the local authority if a specific policy in this area is considered suitable for the </w:t>
      </w:r>
      <w:r>
        <w:t>N</w:t>
      </w:r>
      <w:r w:rsidRPr="00A96743">
        <w:t xml:space="preserve">eighbourhood </w:t>
      </w:r>
      <w:r>
        <w:t>P</w:t>
      </w:r>
      <w:r w:rsidRPr="00A96743">
        <w:t>lan.</w:t>
      </w:r>
      <w:r>
        <w:t xml:space="preserve"> These are also only recommendations based on the indicators reviewed here. The community may have other priorities or interpretations of those indicators, and are free to take forward a different approach in the Neighbourhood Plan than that recommended here.</w:t>
      </w:r>
    </w:p>
    <w:p w14:paraId="1C8F0096" w14:textId="77777777" w:rsidR="00C13A71" w:rsidRPr="00C13A71" w:rsidRDefault="00C13A71" w:rsidP="00A82210">
      <w:pPr>
        <w:pStyle w:val="ListNumber"/>
      </w:pPr>
      <w:bookmarkStart w:id="118" w:name="_Hlk37381526"/>
      <w:r w:rsidRPr="00C13A71">
        <w:t>Where the neighbourhood planners wish to develop policy that requires a different mix to that set out in the Local Plan, it is important that they liaise with the LPA to gather more detailed income and viability information, and to ensure that departures from the district-level policy context have the LPA’s support. Liaising with the LPA will be particularly important where the Local Plan tenure split can be expected to be adjusted in light of the latest Government proposals, to ensure that the Neighbourhood Plan’s approach in reflecting these changes is in line with the LPA approach. Another option when developing Neighbourhood Plan policies on tenure splits is to add caveats to the policy in question, to the effect that the precise mix of affordable housing will be considered on the basis of site-by-size circumstances in addition to this evidence</w:t>
      </w:r>
      <w:bookmarkEnd w:id="118"/>
      <w:r w:rsidRPr="00C13A71">
        <w:t>.</w:t>
      </w:r>
    </w:p>
    <w:p w14:paraId="35162966" w14:textId="4EC85FC9" w:rsidR="00C13A71" w:rsidRPr="00C13A71" w:rsidRDefault="00C13A71" w:rsidP="00A82210">
      <w:pPr>
        <w:pStyle w:val="ListNumber"/>
      </w:pPr>
      <w:bookmarkStart w:id="119" w:name="_Hlk37377748"/>
      <w:r w:rsidRPr="00C13A71">
        <w:t>AECOM cannot provide guidance on the appropriate share of social/affordable rented homes as this will depend on the level of funding available to housing associations which will determine at what level rents can be set. Registered providers (e</w:t>
      </w:r>
      <w:r w:rsidR="00BA4C32">
        <w:t>.</w:t>
      </w:r>
      <w:r w:rsidRPr="00C13A71">
        <w:t>g</w:t>
      </w:r>
      <w:r w:rsidR="00BA4C32">
        <w:t>.</w:t>
      </w:r>
      <w:r w:rsidRPr="00C13A71">
        <w:t xml:space="preserve"> housing associations) may be reluctant to deliver small numbers of homes where there are ongoing management costs involved. For this reason, the proportion of rented homes which can be secured </w:t>
      </w:r>
      <w:r w:rsidR="00A05781">
        <w:t xml:space="preserve">in reality </w:t>
      </w:r>
      <w:r w:rsidRPr="00C13A71">
        <w:t>may depend on the willingness of local housing association to maintain and manage small numbers of homes</w:t>
      </w:r>
      <w:bookmarkEnd w:id="119"/>
      <w:r w:rsidRPr="00C13A71">
        <w:t>.</w:t>
      </w:r>
    </w:p>
    <w:p w14:paraId="2E3EFCA8" w14:textId="1C2E21DE" w:rsidR="00C13A71" w:rsidRPr="00C13A71" w:rsidRDefault="00C13A71" w:rsidP="00A82210">
      <w:pPr>
        <w:pStyle w:val="ListNumber"/>
      </w:pPr>
      <w:r w:rsidRPr="00C13A71">
        <w:t>Mix 2 put forward below aligns as closely as possible with emerging Government policy as currently proposed. If those proposals do not go forward, the recommended</w:t>
      </w:r>
      <w:r w:rsidR="00BF42AD">
        <w:t xml:space="preserve"> starting point for the</w:t>
      </w:r>
      <w:r w:rsidRPr="00C13A71">
        <w:t xml:space="preserve"> tenure </w:t>
      </w:r>
      <w:r w:rsidR="00BF42AD">
        <w:t xml:space="preserve">mix in </w:t>
      </w:r>
      <w:r w:rsidRPr="00C13A71">
        <w:t>the NA will be Mix 1 below. However, the considerations detailed above will remain relevant for determining a more appropriate mix in the light of national policy changes or other unexpected developments.</w:t>
      </w:r>
    </w:p>
    <w:p w14:paraId="5E202E0B" w14:textId="6C93C046" w:rsidR="001568F4" w:rsidRPr="00A73A45" w:rsidRDefault="00657F4D" w:rsidP="00657F4D">
      <w:pPr>
        <w:pStyle w:val="Caption"/>
        <w:rPr>
          <w:sz w:val="18"/>
          <w:szCs w:val="18"/>
        </w:rPr>
      </w:pPr>
      <w:r>
        <w:t xml:space="preserve">Table </w:t>
      </w:r>
      <w:r w:rsidR="00D72010">
        <w:fldChar w:fldCharType="begin"/>
      </w:r>
      <w:r w:rsidR="00D72010">
        <w:instrText xml:space="preserve"> STYLEREF 1 \s </w:instrText>
      </w:r>
      <w:r w:rsidR="00D72010">
        <w:fldChar w:fldCharType="separate"/>
      </w:r>
      <w:r w:rsidR="00BA4C32">
        <w:rPr>
          <w:noProof/>
        </w:rPr>
        <w:t>4</w:t>
      </w:r>
      <w:r w:rsidR="00D72010">
        <w:rPr>
          <w:noProof/>
        </w:rPr>
        <w:fldChar w:fldCharType="end"/>
      </w:r>
      <w:r w:rsidR="00BA4C32">
        <w:noBreakHyphen/>
      </w:r>
      <w:r w:rsidR="00D72010">
        <w:fldChar w:fldCharType="begin"/>
      </w:r>
      <w:r w:rsidR="00D72010">
        <w:instrText xml:space="preserve"> SEQ</w:instrText>
      </w:r>
      <w:r w:rsidR="00D72010">
        <w:instrText xml:space="preserve"> Table \* ARABIC \s 1 </w:instrText>
      </w:r>
      <w:r w:rsidR="00D72010">
        <w:fldChar w:fldCharType="separate"/>
      </w:r>
      <w:r w:rsidR="00BA4C32">
        <w:rPr>
          <w:noProof/>
        </w:rPr>
        <w:t>9</w:t>
      </w:r>
      <w:r w:rsidR="00D72010">
        <w:rPr>
          <w:noProof/>
        </w:rPr>
        <w:fldChar w:fldCharType="end"/>
      </w:r>
      <w:r w:rsidR="001568F4" w:rsidRPr="001568F4">
        <w:rPr>
          <w:b w:val="0"/>
          <w:bCs w:val="0"/>
          <w:sz w:val="18"/>
          <w:szCs w:val="18"/>
        </w:rPr>
        <w:t xml:space="preserve">: </w:t>
      </w:r>
      <w:r w:rsidR="001568F4" w:rsidRPr="00A73A45">
        <w:rPr>
          <w:sz w:val="18"/>
          <w:szCs w:val="18"/>
        </w:rPr>
        <w:t xml:space="preserve">Indicative tenure split (Affordable Housing) </w:t>
      </w:r>
    </w:p>
    <w:tbl>
      <w:tblPr>
        <w:tblW w:w="93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2127"/>
        <w:gridCol w:w="3273"/>
      </w:tblGrid>
      <w:tr w:rsidR="00EF1FA9" w:rsidRPr="00D26DCC" w14:paraId="6756029B" w14:textId="77777777" w:rsidTr="00832DE0">
        <w:trPr>
          <w:trHeight w:val="243"/>
          <w:jc w:val="right"/>
        </w:trPr>
        <w:tc>
          <w:tcPr>
            <w:tcW w:w="2127" w:type="dxa"/>
            <w:shd w:val="clear" w:color="auto" w:fill="auto"/>
            <w:noWrap/>
            <w:vAlign w:val="center"/>
          </w:tcPr>
          <w:p w14:paraId="2AD4CE2B" w14:textId="62EB210A" w:rsidR="00EF1FA9" w:rsidRPr="00D26DCC" w:rsidRDefault="00EF1FA9" w:rsidP="00EF1FA9">
            <w:pPr>
              <w:rPr>
                <w:b/>
                <w:bCs/>
                <w:color w:val="auto"/>
              </w:rPr>
            </w:pPr>
            <w:r w:rsidRPr="00D26DCC">
              <w:rPr>
                <w:b/>
                <w:bCs/>
                <w:color w:val="auto"/>
              </w:rPr>
              <w:t>Tenu</w:t>
            </w:r>
            <w:r>
              <w:rPr>
                <w:b/>
                <w:bCs/>
                <w:color w:val="auto"/>
              </w:rPr>
              <w:t>r</w:t>
            </w:r>
            <w:r w:rsidRPr="00D26DCC">
              <w:rPr>
                <w:b/>
                <w:bCs/>
                <w:color w:val="auto"/>
              </w:rPr>
              <w:t>e</w:t>
            </w:r>
          </w:p>
        </w:tc>
        <w:tc>
          <w:tcPr>
            <w:tcW w:w="1842" w:type="dxa"/>
            <w:shd w:val="clear" w:color="auto" w:fill="auto"/>
            <w:noWrap/>
            <w:vAlign w:val="center"/>
          </w:tcPr>
          <w:p w14:paraId="40F603CA" w14:textId="77777777" w:rsidR="00EF1FA9" w:rsidRPr="00D26DCC" w:rsidRDefault="00EF1FA9" w:rsidP="00832DE0">
            <w:pPr>
              <w:jc w:val="center"/>
              <w:rPr>
                <w:b/>
                <w:bCs/>
                <w:color w:val="auto"/>
              </w:rPr>
            </w:pPr>
            <w:r>
              <w:rPr>
                <w:b/>
                <w:bCs/>
                <w:color w:val="auto"/>
              </w:rPr>
              <w:t xml:space="preserve">Mix 1. </w:t>
            </w:r>
            <w:r w:rsidRPr="00D26DCC">
              <w:rPr>
                <w:b/>
                <w:bCs/>
                <w:color w:val="auto"/>
              </w:rPr>
              <w:t xml:space="preserve">Indicative </w:t>
            </w:r>
            <w:r>
              <w:rPr>
                <w:b/>
                <w:bCs/>
                <w:color w:val="auto"/>
              </w:rPr>
              <w:t>mix</w:t>
            </w:r>
            <w:r w:rsidRPr="00D26DCC">
              <w:rPr>
                <w:b/>
                <w:bCs/>
                <w:color w:val="auto"/>
              </w:rPr>
              <w:t xml:space="preserve"> based on local needs</w:t>
            </w:r>
          </w:p>
        </w:tc>
        <w:tc>
          <w:tcPr>
            <w:tcW w:w="2127" w:type="dxa"/>
            <w:vAlign w:val="center"/>
          </w:tcPr>
          <w:p w14:paraId="38FC30C1" w14:textId="77777777" w:rsidR="00EF1FA9" w:rsidRPr="00D26DCC" w:rsidRDefault="00EF1FA9" w:rsidP="00832DE0">
            <w:pPr>
              <w:jc w:val="center"/>
              <w:rPr>
                <w:b/>
                <w:bCs/>
                <w:color w:val="auto"/>
              </w:rPr>
            </w:pPr>
            <w:r>
              <w:rPr>
                <w:b/>
                <w:bCs/>
                <w:color w:val="auto"/>
              </w:rPr>
              <w:t xml:space="preserve">Mix 2. </w:t>
            </w:r>
            <w:r w:rsidRPr="00D26DCC">
              <w:rPr>
                <w:b/>
                <w:bCs/>
                <w:color w:val="auto"/>
              </w:rPr>
              <w:t xml:space="preserve">Indicative </w:t>
            </w:r>
            <w:r>
              <w:rPr>
                <w:b/>
                <w:bCs/>
                <w:color w:val="auto"/>
              </w:rPr>
              <w:t>mix</w:t>
            </w:r>
            <w:r w:rsidRPr="00D26DCC">
              <w:rPr>
                <w:b/>
                <w:bCs/>
                <w:color w:val="auto"/>
              </w:rPr>
              <w:t xml:space="preserve"> with 25% First Homes requirement</w:t>
            </w:r>
          </w:p>
        </w:tc>
        <w:tc>
          <w:tcPr>
            <w:tcW w:w="3273" w:type="dxa"/>
          </w:tcPr>
          <w:p w14:paraId="3DE723D2" w14:textId="77777777" w:rsidR="00EF1FA9" w:rsidRPr="00D26DCC" w:rsidRDefault="00EF1FA9" w:rsidP="00EF1FA9">
            <w:pPr>
              <w:rPr>
                <w:b/>
                <w:bCs/>
                <w:color w:val="auto"/>
              </w:rPr>
            </w:pPr>
            <w:r w:rsidRPr="00D26DCC">
              <w:rPr>
                <w:b/>
                <w:bCs/>
                <w:color w:val="auto"/>
              </w:rPr>
              <w:t>Considerations and uncertainties</w:t>
            </w:r>
          </w:p>
        </w:tc>
      </w:tr>
      <w:tr w:rsidR="00EF1FA9" w:rsidRPr="00D26DCC" w14:paraId="3166C791" w14:textId="77777777" w:rsidTr="00310BEF">
        <w:trPr>
          <w:trHeight w:val="243"/>
          <w:jc w:val="right"/>
        </w:trPr>
        <w:tc>
          <w:tcPr>
            <w:tcW w:w="2127" w:type="dxa"/>
            <w:shd w:val="clear" w:color="auto" w:fill="auto"/>
            <w:noWrap/>
            <w:vAlign w:val="center"/>
            <w:hideMark/>
          </w:tcPr>
          <w:p w14:paraId="69AEF3E9" w14:textId="77777777" w:rsidR="00EF1FA9" w:rsidRPr="00D26DCC" w:rsidRDefault="00EF1FA9" w:rsidP="00EF1FA9">
            <w:pPr>
              <w:rPr>
                <w:b/>
                <w:bCs/>
                <w:color w:val="auto"/>
              </w:rPr>
            </w:pPr>
            <w:r w:rsidRPr="00D26DCC">
              <w:rPr>
                <w:b/>
                <w:bCs/>
                <w:color w:val="auto"/>
              </w:rPr>
              <w:t>Routes to home ownership, of which</w:t>
            </w:r>
          </w:p>
        </w:tc>
        <w:tc>
          <w:tcPr>
            <w:tcW w:w="1842" w:type="dxa"/>
            <w:shd w:val="clear" w:color="auto" w:fill="auto"/>
            <w:noWrap/>
            <w:vAlign w:val="center"/>
          </w:tcPr>
          <w:p w14:paraId="77D0184B" w14:textId="10F38104" w:rsidR="00EF1FA9" w:rsidRPr="00920167" w:rsidRDefault="00646027" w:rsidP="00EF1FA9">
            <w:pPr>
              <w:jc w:val="center"/>
              <w:rPr>
                <w:b/>
                <w:bCs/>
              </w:rPr>
            </w:pPr>
            <w:r w:rsidRPr="00920167">
              <w:rPr>
                <w:b/>
                <w:bCs/>
              </w:rPr>
              <w:t>10%</w:t>
            </w:r>
          </w:p>
        </w:tc>
        <w:tc>
          <w:tcPr>
            <w:tcW w:w="2127" w:type="dxa"/>
            <w:vAlign w:val="center"/>
          </w:tcPr>
          <w:p w14:paraId="0540EF9C" w14:textId="121645F9" w:rsidR="00EF1FA9" w:rsidRPr="00920167" w:rsidRDefault="00920167" w:rsidP="00EF1FA9">
            <w:pPr>
              <w:jc w:val="center"/>
              <w:rPr>
                <w:b/>
                <w:bCs/>
              </w:rPr>
            </w:pPr>
            <w:r>
              <w:rPr>
                <w:b/>
                <w:bCs/>
              </w:rPr>
              <w:t>30</w:t>
            </w:r>
            <w:r w:rsidR="00646027" w:rsidRPr="00920167">
              <w:rPr>
                <w:b/>
                <w:bCs/>
              </w:rPr>
              <w:t>%</w:t>
            </w:r>
          </w:p>
        </w:tc>
        <w:tc>
          <w:tcPr>
            <w:tcW w:w="3273" w:type="dxa"/>
          </w:tcPr>
          <w:p w14:paraId="2734D89D" w14:textId="77777777" w:rsidR="00EF1FA9" w:rsidRPr="00D26DCC" w:rsidRDefault="00EF1FA9" w:rsidP="00EF1FA9">
            <w:r w:rsidRPr="00D26DCC">
              <w:t>Government proposing min 25% requirement for First Homes. Uncertainty over extent of requirement until policy finalised.</w:t>
            </w:r>
          </w:p>
        </w:tc>
      </w:tr>
      <w:tr w:rsidR="00EF1FA9" w:rsidRPr="00D26DCC" w14:paraId="14D0DCFF" w14:textId="77777777" w:rsidTr="00EF1FA9">
        <w:trPr>
          <w:trHeight w:val="243"/>
          <w:jc w:val="right"/>
        </w:trPr>
        <w:tc>
          <w:tcPr>
            <w:tcW w:w="2127" w:type="dxa"/>
            <w:shd w:val="clear" w:color="auto" w:fill="auto"/>
            <w:noWrap/>
            <w:vAlign w:val="center"/>
          </w:tcPr>
          <w:p w14:paraId="4F02D8EC" w14:textId="06A58DCB" w:rsidR="00EF1FA9" w:rsidRPr="00D26DCC" w:rsidRDefault="00EF1FA9" w:rsidP="00EF1FA9">
            <w:pPr>
              <w:rPr>
                <w:iCs/>
              </w:rPr>
            </w:pPr>
            <w:r w:rsidRPr="00D26DCC">
              <w:rPr>
                <w:iCs/>
              </w:rPr>
              <w:t>First Homes</w:t>
            </w:r>
            <w:r w:rsidR="001234C4">
              <w:rPr>
                <w:rStyle w:val="FootnoteReference"/>
                <w:iCs/>
              </w:rPr>
              <w:footnoteReference w:id="33"/>
            </w:r>
          </w:p>
        </w:tc>
        <w:tc>
          <w:tcPr>
            <w:tcW w:w="1842" w:type="dxa"/>
            <w:shd w:val="clear" w:color="auto" w:fill="auto"/>
            <w:noWrap/>
            <w:vAlign w:val="center"/>
          </w:tcPr>
          <w:p w14:paraId="3B48A802" w14:textId="7B3373CB" w:rsidR="00EF1FA9" w:rsidRPr="00920167" w:rsidRDefault="00646027" w:rsidP="00EF1FA9">
            <w:pPr>
              <w:jc w:val="center"/>
              <w:rPr>
                <w:iCs/>
              </w:rPr>
            </w:pPr>
            <w:r w:rsidRPr="00920167">
              <w:rPr>
                <w:iCs/>
              </w:rPr>
              <w:t>0%</w:t>
            </w:r>
          </w:p>
        </w:tc>
        <w:tc>
          <w:tcPr>
            <w:tcW w:w="2127" w:type="dxa"/>
            <w:vAlign w:val="center"/>
          </w:tcPr>
          <w:p w14:paraId="6D621922" w14:textId="178D4EEC" w:rsidR="00EF1FA9" w:rsidRPr="00920167" w:rsidRDefault="00920167" w:rsidP="00EF1FA9">
            <w:pPr>
              <w:jc w:val="center"/>
              <w:rPr>
                <w:iCs/>
              </w:rPr>
            </w:pPr>
            <w:r>
              <w:rPr>
                <w:iCs/>
              </w:rPr>
              <w:t>25</w:t>
            </w:r>
            <w:r w:rsidR="00646027" w:rsidRPr="00920167">
              <w:rPr>
                <w:iCs/>
              </w:rPr>
              <w:t>%</w:t>
            </w:r>
          </w:p>
        </w:tc>
        <w:tc>
          <w:tcPr>
            <w:tcW w:w="3273" w:type="dxa"/>
          </w:tcPr>
          <w:p w14:paraId="676B2755" w14:textId="77777777" w:rsidR="00EF1FA9" w:rsidRPr="00D26DCC" w:rsidRDefault="00EF1FA9" w:rsidP="00EF1FA9">
            <w:pPr>
              <w:rPr>
                <w:iCs/>
              </w:rPr>
            </w:pPr>
            <w:r w:rsidRPr="00D26DCC">
              <w:rPr>
                <w:iCs/>
              </w:rPr>
              <w:t>Product untested so uncertainties around viability, developer, lenders and buyer appetite etc</w:t>
            </w:r>
          </w:p>
        </w:tc>
      </w:tr>
      <w:tr w:rsidR="00EF1FA9" w:rsidRPr="00D26DCC" w14:paraId="17B4AB71" w14:textId="77777777" w:rsidTr="00EF1FA9">
        <w:trPr>
          <w:trHeight w:val="253"/>
          <w:jc w:val="right"/>
        </w:trPr>
        <w:tc>
          <w:tcPr>
            <w:tcW w:w="2127" w:type="dxa"/>
            <w:shd w:val="clear" w:color="auto" w:fill="auto"/>
            <w:noWrap/>
            <w:vAlign w:val="center"/>
            <w:hideMark/>
          </w:tcPr>
          <w:p w14:paraId="2BBAD271" w14:textId="77777777" w:rsidR="00EF1FA9" w:rsidRPr="00D26DCC" w:rsidRDefault="00EF1FA9" w:rsidP="00EF1FA9">
            <w:pPr>
              <w:rPr>
                <w:iCs/>
              </w:rPr>
            </w:pPr>
            <w:r w:rsidRPr="00D26DCC">
              <w:rPr>
                <w:iCs/>
              </w:rPr>
              <w:t xml:space="preserve">Shared ownership </w:t>
            </w:r>
          </w:p>
        </w:tc>
        <w:tc>
          <w:tcPr>
            <w:tcW w:w="1842" w:type="dxa"/>
            <w:shd w:val="clear" w:color="auto" w:fill="auto"/>
            <w:noWrap/>
            <w:vAlign w:val="center"/>
          </w:tcPr>
          <w:p w14:paraId="39280E8B" w14:textId="0FA4AAE0" w:rsidR="00EF1FA9" w:rsidRPr="00920167" w:rsidRDefault="00920167" w:rsidP="00EF1FA9">
            <w:pPr>
              <w:jc w:val="center"/>
              <w:rPr>
                <w:iCs/>
              </w:rPr>
            </w:pPr>
            <w:r>
              <w:rPr>
                <w:iCs/>
              </w:rPr>
              <w:t>5</w:t>
            </w:r>
            <w:r w:rsidR="00646027" w:rsidRPr="00920167">
              <w:rPr>
                <w:iCs/>
              </w:rPr>
              <w:t>%</w:t>
            </w:r>
          </w:p>
        </w:tc>
        <w:tc>
          <w:tcPr>
            <w:tcW w:w="2127" w:type="dxa"/>
            <w:vAlign w:val="center"/>
          </w:tcPr>
          <w:p w14:paraId="50C2CE00" w14:textId="68AA6FD9" w:rsidR="00EF1FA9" w:rsidRPr="00920167" w:rsidRDefault="00920167" w:rsidP="00EF1FA9">
            <w:pPr>
              <w:jc w:val="center"/>
              <w:rPr>
                <w:iCs/>
              </w:rPr>
            </w:pPr>
            <w:r w:rsidRPr="00920167">
              <w:rPr>
                <w:iCs/>
              </w:rPr>
              <w:t>5%</w:t>
            </w:r>
          </w:p>
        </w:tc>
        <w:tc>
          <w:tcPr>
            <w:tcW w:w="3273" w:type="dxa"/>
          </w:tcPr>
          <w:p w14:paraId="5C65B83B" w14:textId="77777777" w:rsidR="00EF1FA9" w:rsidRPr="00D26DCC" w:rsidRDefault="00EF1FA9" w:rsidP="00EF1FA9">
            <w:pPr>
              <w:rPr>
                <w:iCs/>
              </w:rPr>
            </w:pPr>
            <w:r w:rsidRPr="00D26DCC">
              <w:rPr>
                <w:iCs/>
              </w:rPr>
              <w:t>Proposed changes to the model to allow purchases of 10%</w:t>
            </w:r>
            <w:r>
              <w:rPr>
                <w:iCs/>
              </w:rPr>
              <w:t xml:space="preserve"> share</w:t>
            </w:r>
            <w:r>
              <w:rPr>
                <w:rStyle w:val="FootnoteReference"/>
                <w:iCs/>
              </w:rPr>
              <w:footnoteReference w:id="34"/>
            </w:r>
            <w:r w:rsidRPr="00D26DCC">
              <w:rPr>
                <w:iCs/>
              </w:rPr>
              <w:t xml:space="preserve"> - impact on viability unknown</w:t>
            </w:r>
          </w:p>
          <w:p w14:paraId="45598E4B" w14:textId="77777777" w:rsidR="00EF1FA9" w:rsidRPr="00D26DCC" w:rsidRDefault="00EF1FA9" w:rsidP="00EF1FA9">
            <w:pPr>
              <w:rPr>
                <w:iCs/>
              </w:rPr>
            </w:pPr>
            <w:r w:rsidRPr="00D26DCC">
              <w:rPr>
                <w:iCs/>
              </w:rPr>
              <w:t>RPs business plans currently reliant on shared ownership model. Impact of displacement by First Homes unknown.</w:t>
            </w:r>
          </w:p>
        </w:tc>
      </w:tr>
      <w:tr w:rsidR="00EF1FA9" w:rsidRPr="00D26DCC" w14:paraId="064C1FC8" w14:textId="77777777" w:rsidTr="00EF1FA9">
        <w:trPr>
          <w:trHeight w:val="253"/>
          <w:jc w:val="right"/>
        </w:trPr>
        <w:tc>
          <w:tcPr>
            <w:tcW w:w="2127" w:type="dxa"/>
            <w:shd w:val="clear" w:color="auto" w:fill="auto"/>
            <w:noWrap/>
            <w:vAlign w:val="center"/>
          </w:tcPr>
          <w:p w14:paraId="0921B983" w14:textId="77777777" w:rsidR="00EF1FA9" w:rsidRPr="00D26DCC" w:rsidRDefault="00EF1FA9" w:rsidP="00EF1FA9">
            <w:pPr>
              <w:rPr>
                <w:iCs/>
              </w:rPr>
            </w:pPr>
            <w:r w:rsidRPr="00D26DCC">
              <w:rPr>
                <w:iCs/>
              </w:rPr>
              <w:t>Rent to buy</w:t>
            </w:r>
          </w:p>
        </w:tc>
        <w:tc>
          <w:tcPr>
            <w:tcW w:w="1842" w:type="dxa"/>
            <w:shd w:val="clear" w:color="auto" w:fill="auto"/>
            <w:noWrap/>
            <w:vAlign w:val="center"/>
          </w:tcPr>
          <w:p w14:paraId="6DD6978D" w14:textId="0CE8AB66" w:rsidR="00EF1FA9" w:rsidRPr="00920167" w:rsidRDefault="00920167" w:rsidP="00EF1FA9">
            <w:pPr>
              <w:jc w:val="center"/>
              <w:rPr>
                <w:iCs/>
              </w:rPr>
            </w:pPr>
            <w:r>
              <w:rPr>
                <w:iCs/>
              </w:rPr>
              <w:t>5</w:t>
            </w:r>
            <w:r w:rsidR="00646027" w:rsidRPr="00920167">
              <w:rPr>
                <w:iCs/>
              </w:rPr>
              <w:t>%</w:t>
            </w:r>
          </w:p>
        </w:tc>
        <w:tc>
          <w:tcPr>
            <w:tcW w:w="2127" w:type="dxa"/>
            <w:vAlign w:val="center"/>
          </w:tcPr>
          <w:p w14:paraId="5C80E891" w14:textId="6A0485CC" w:rsidR="00EF1FA9" w:rsidRPr="00920167" w:rsidRDefault="00920167" w:rsidP="00EF1FA9">
            <w:pPr>
              <w:jc w:val="center"/>
              <w:rPr>
                <w:iCs/>
              </w:rPr>
            </w:pPr>
            <w:r>
              <w:rPr>
                <w:iCs/>
              </w:rPr>
              <w:t>0%</w:t>
            </w:r>
          </w:p>
        </w:tc>
        <w:tc>
          <w:tcPr>
            <w:tcW w:w="3273" w:type="dxa"/>
          </w:tcPr>
          <w:p w14:paraId="5866F5B1" w14:textId="77777777" w:rsidR="00EF1FA9" w:rsidRPr="00D26DCC" w:rsidRDefault="00EF1FA9" w:rsidP="00EF1FA9">
            <w:pPr>
              <w:rPr>
                <w:iCs/>
              </w:rPr>
            </w:pPr>
            <w:r w:rsidRPr="00D26DCC">
              <w:rPr>
                <w:iCs/>
              </w:rPr>
              <w:t>Emerging product with popularity and effectiveness as yet unknown</w:t>
            </w:r>
          </w:p>
          <w:p w14:paraId="00EC5A2D" w14:textId="77777777" w:rsidR="00EF1FA9" w:rsidRPr="00D26DCC" w:rsidRDefault="00EF1FA9" w:rsidP="00EF1FA9">
            <w:pPr>
              <w:rPr>
                <w:iCs/>
              </w:rPr>
            </w:pPr>
            <w:r w:rsidRPr="00D26DCC">
              <w:rPr>
                <w:iCs/>
              </w:rPr>
              <w:t>Impact of displacement by First Homes unknown</w:t>
            </w:r>
          </w:p>
        </w:tc>
      </w:tr>
      <w:tr w:rsidR="00EF1FA9" w:rsidRPr="00D26DCC" w14:paraId="006014A9" w14:textId="77777777" w:rsidTr="00EF1FA9">
        <w:trPr>
          <w:trHeight w:val="243"/>
          <w:jc w:val="right"/>
        </w:trPr>
        <w:tc>
          <w:tcPr>
            <w:tcW w:w="2127" w:type="dxa"/>
            <w:shd w:val="clear" w:color="auto" w:fill="auto"/>
            <w:noWrap/>
            <w:vAlign w:val="center"/>
            <w:hideMark/>
          </w:tcPr>
          <w:p w14:paraId="316BEE4F" w14:textId="77777777" w:rsidR="00EF1FA9" w:rsidRPr="00D26DCC" w:rsidRDefault="00EF1FA9" w:rsidP="00EF1FA9">
            <w:pPr>
              <w:rPr>
                <w:b/>
                <w:bCs/>
                <w:color w:val="auto"/>
              </w:rPr>
            </w:pPr>
            <w:r w:rsidRPr="00D26DCC">
              <w:rPr>
                <w:b/>
                <w:bCs/>
                <w:color w:val="auto"/>
              </w:rPr>
              <w:t>Affordable Housing for rent, of which</w:t>
            </w:r>
          </w:p>
        </w:tc>
        <w:tc>
          <w:tcPr>
            <w:tcW w:w="1842" w:type="dxa"/>
            <w:shd w:val="clear" w:color="auto" w:fill="auto"/>
            <w:noWrap/>
            <w:vAlign w:val="center"/>
          </w:tcPr>
          <w:p w14:paraId="14A229F2" w14:textId="53A299E3" w:rsidR="00EF1FA9" w:rsidRPr="00920167" w:rsidRDefault="00920167" w:rsidP="00EF1FA9">
            <w:pPr>
              <w:jc w:val="center"/>
              <w:rPr>
                <w:b/>
                <w:bCs/>
              </w:rPr>
            </w:pPr>
            <w:r w:rsidRPr="00920167">
              <w:rPr>
                <w:b/>
                <w:bCs/>
              </w:rPr>
              <w:t>90%</w:t>
            </w:r>
          </w:p>
        </w:tc>
        <w:tc>
          <w:tcPr>
            <w:tcW w:w="2127" w:type="dxa"/>
            <w:vAlign w:val="center"/>
          </w:tcPr>
          <w:p w14:paraId="2C2FE9EA" w14:textId="6F4C7F8D" w:rsidR="00EF1FA9" w:rsidRPr="00920167" w:rsidRDefault="00920167" w:rsidP="00EF1FA9">
            <w:pPr>
              <w:jc w:val="center"/>
              <w:rPr>
                <w:b/>
                <w:iCs/>
              </w:rPr>
            </w:pPr>
            <w:r>
              <w:rPr>
                <w:b/>
                <w:iCs/>
              </w:rPr>
              <w:t>70</w:t>
            </w:r>
            <w:r w:rsidRPr="00920167">
              <w:rPr>
                <w:b/>
                <w:iCs/>
              </w:rPr>
              <w:t>%</w:t>
            </w:r>
          </w:p>
        </w:tc>
        <w:tc>
          <w:tcPr>
            <w:tcW w:w="3273" w:type="dxa"/>
          </w:tcPr>
          <w:p w14:paraId="452D92A8" w14:textId="77777777" w:rsidR="00EF1FA9" w:rsidRPr="00D26DCC" w:rsidRDefault="00EF1FA9" w:rsidP="00EF1FA9">
            <w:pPr>
              <w:rPr>
                <w:b/>
                <w:iCs/>
              </w:rPr>
            </w:pPr>
          </w:p>
        </w:tc>
      </w:tr>
      <w:tr w:rsidR="00EF1FA9" w:rsidRPr="00D26DCC" w14:paraId="371E73BC" w14:textId="77777777" w:rsidTr="00832DE0">
        <w:trPr>
          <w:trHeight w:val="243"/>
          <w:jc w:val="right"/>
        </w:trPr>
        <w:tc>
          <w:tcPr>
            <w:tcW w:w="2127" w:type="dxa"/>
            <w:shd w:val="clear" w:color="auto" w:fill="auto"/>
            <w:noWrap/>
            <w:vAlign w:val="center"/>
            <w:hideMark/>
          </w:tcPr>
          <w:p w14:paraId="0105361F" w14:textId="77777777" w:rsidR="00EF1FA9" w:rsidRPr="00D26DCC" w:rsidRDefault="00EF1FA9" w:rsidP="00EF1FA9">
            <w:pPr>
              <w:rPr>
                <w:iCs/>
              </w:rPr>
            </w:pPr>
            <w:r w:rsidRPr="00D26DCC">
              <w:rPr>
                <w:iCs/>
              </w:rPr>
              <w:t xml:space="preserve">Social rent </w:t>
            </w:r>
          </w:p>
        </w:tc>
        <w:tc>
          <w:tcPr>
            <w:tcW w:w="1842" w:type="dxa"/>
            <w:shd w:val="clear" w:color="auto" w:fill="auto"/>
            <w:noWrap/>
            <w:vAlign w:val="center"/>
            <w:hideMark/>
          </w:tcPr>
          <w:p w14:paraId="3FF9E282" w14:textId="77777777" w:rsidR="00EF1FA9" w:rsidRPr="00D26DCC" w:rsidRDefault="00EF1FA9" w:rsidP="00832DE0">
            <w:pPr>
              <w:jc w:val="center"/>
              <w:rPr>
                <w:iCs/>
              </w:rPr>
            </w:pPr>
            <w:r w:rsidRPr="00D26DCC">
              <w:rPr>
                <w:iCs/>
              </w:rPr>
              <w:t>To be set by Registered Providers</w:t>
            </w:r>
          </w:p>
        </w:tc>
        <w:tc>
          <w:tcPr>
            <w:tcW w:w="2127" w:type="dxa"/>
            <w:shd w:val="clear" w:color="auto" w:fill="auto"/>
            <w:vAlign w:val="center"/>
          </w:tcPr>
          <w:p w14:paraId="7073739F" w14:textId="77777777" w:rsidR="00EF1FA9" w:rsidRPr="00D26DCC" w:rsidRDefault="00EF1FA9" w:rsidP="00832DE0">
            <w:pPr>
              <w:jc w:val="center"/>
              <w:rPr>
                <w:iCs/>
              </w:rPr>
            </w:pPr>
            <w:r w:rsidRPr="00D26DCC">
              <w:rPr>
                <w:iCs/>
              </w:rPr>
              <w:t>To be set by Registered Providers</w:t>
            </w:r>
          </w:p>
        </w:tc>
        <w:tc>
          <w:tcPr>
            <w:tcW w:w="3273" w:type="dxa"/>
          </w:tcPr>
          <w:p w14:paraId="18278A7C" w14:textId="77777777" w:rsidR="00EF1FA9" w:rsidRPr="00D26DCC" w:rsidRDefault="00EF1FA9" w:rsidP="00EF1FA9">
            <w:pPr>
              <w:rPr>
                <w:iCs/>
              </w:rPr>
            </w:pPr>
            <w:r w:rsidRPr="00D26DCC">
              <w:rPr>
                <w:iCs/>
              </w:rPr>
              <w:t>Uncertain how much funding available to support this tenure in local area</w:t>
            </w:r>
          </w:p>
          <w:p w14:paraId="3FF863EE" w14:textId="77777777" w:rsidR="00EF1FA9" w:rsidRPr="00D26DCC" w:rsidRDefault="00EF1FA9" w:rsidP="00EF1FA9">
            <w:pPr>
              <w:rPr>
                <w:iCs/>
              </w:rPr>
            </w:pPr>
            <w:r w:rsidRPr="00D26DCC">
              <w:rPr>
                <w:iCs/>
              </w:rPr>
              <w:t>Uncertain whether RPs willing to own/manage stock in this area</w:t>
            </w:r>
          </w:p>
        </w:tc>
      </w:tr>
      <w:tr w:rsidR="00EF1FA9" w:rsidRPr="00D26DCC" w14:paraId="121E41BE" w14:textId="77777777" w:rsidTr="00832DE0">
        <w:trPr>
          <w:trHeight w:val="243"/>
          <w:jc w:val="right"/>
        </w:trPr>
        <w:tc>
          <w:tcPr>
            <w:tcW w:w="2127" w:type="dxa"/>
            <w:shd w:val="clear" w:color="auto" w:fill="auto"/>
            <w:noWrap/>
            <w:vAlign w:val="center"/>
          </w:tcPr>
          <w:p w14:paraId="264AB7B5" w14:textId="77777777" w:rsidR="00EF1FA9" w:rsidRPr="00D26DCC" w:rsidRDefault="00EF1FA9" w:rsidP="00EF1FA9">
            <w:pPr>
              <w:rPr>
                <w:iCs/>
              </w:rPr>
            </w:pPr>
            <w:r w:rsidRPr="00D26DCC">
              <w:rPr>
                <w:iCs/>
              </w:rPr>
              <w:t>Affordable rent</w:t>
            </w:r>
          </w:p>
        </w:tc>
        <w:tc>
          <w:tcPr>
            <w:tcW w:w="1842" w:type="dxa"/>
            <w:shd w:val="clear" w:color="auto" w:fill="auto"/>
            <w:noWrap/>
            <w:vAlign w:val="center"/>
          </w:tcPr>
          <w:p w14:paraId="1B766E60" w14:textId="77777777" w:rsidR="00EF1FA9" w:rsidRPr="00D26DCC" w:rsidRDefault="00EF1FA9" w:rsidP="00832DE0">
            <w:pPr>
              <w:jc w:val="center"/>
              <w:rPr>
                <w:iCs/>
              </w:rPr>
            </w:pPr>
            <w:r w:rsidRPr="00D26DCC">
              <w:rPr>
                <w:iCs/>
              </w:rPr>
              <w:t>To be set by Registered Providers</w:t>
            </w:r>
          </w:p>
        </w:tc>
        <w:tc>
          <w:tcPr>
            <w:tcW w:w="2127" w:type="dxa"/>
            <w:shd w:val="clear" w:color="auto" w:fill="auto"/>
            <w:vAlign w:val="center"/>
          </w:tcPr>
          <w:p w14:paraId="297527A0" w14:textId="77777777" w:rsidR="00EF1FA9" w:rsidRPr="00D26DCC" w:rsidRDefault="00EF1FA9" w:rsidP="00832DE0">
            <w:pPr>
              <w:jc w:val="center"/>
              <w:rPr>
                <w:iCs/>
              </w:rPr>
            </w:pPr>
            <w:r w:rsidRPr="00D26DCC">
              <w:rPr>
                <w:iCs/>
              </w:rPr>
              <w:t>To be set by Registered Providers</w:t>
            </w:r>
          </w:p>
        </w:tc>
        <w:tc>
          <w:tcPr>
            <w:tcW w:w="3273" w:type="dxa"/>
          </w:tcPr>
          <w:p w14:paraId="0E7DFB4C" w14:textId="77777777" w:rsidR="00EF1FA9" w:rsidRPr="00D26DCC" w:rsidRDefault="00EF1FA9" w:rsidP="00EF1FA9">
            <w:pPr>
              <w:rPr>
                <w:iCs/>
              </w:rPr>
            </w:pPr>
            <w:r w:rsidRPr="00D26DCC">
              <w:rPr>
                <w:iCs/>
              </w:rPr>
              <w:t>Uncertain whether RPs willing to own/manage stock in this area</w:t>
            </w:r>
          </w:p>
        </w:tc>
      </w:tr>
    </w:tbl>
    <w:p w14:paraId="7FB7CDFE" w14:textId="77777777" w:rsidR="00EF1FA9" w:rsidRDefault="00EF1FA9" w:rsidP="001568F4">
      <w:pPr>
        <w:spacing w:after="120"/>
        <w:ind w:left="425"/>
        <w:rPr>
          <w:i/>
          <w:lang w:val="en-US"/>
        </w:rPr>
      </w:pPr>
    </w:p>
    <w:p w14:paraId="172900E1" w14:textId="3EE203C7" w:rsidR="001568F4" w:rsidRDefault="001568F4" w:rsidP="001568F4">
      <w:pPr>
        <w:spacing w:after="120"/>
        <w:ind w:left="425"/>
        <w:rPr>
          <w:i/>
          <w:lang w:val="en-US"/>
        </w:rPr>
      </w:pPr>
      <w:r w:rsidRPr="001568F4">
        <w:rPr>
          <w:i/>
          <w:lang w:val="en-US"/>
        </w:rPr>
        <w:t>Source: AECOM calculations</w:t>
      </w:r>
    </w:p>
    <w:p w14:paraId="6559DD0A" w14:textId="3EF64131" w:rsidR="00EF1FA9" w:rsidRDefault="00EF1FA9" w:rsidP="00A82210">
      <w:pPr>
        <w:pStyle w:val="ListNumber"/>
      </w:pPr>
      <w:bookmarkStart w:id="120" w:name="_Hlk49950377"/>
      <w:r w:rsidRPr="00EF1FA9">
        <w:t xml:space="preserve">Assuming that the Government’s proposal that 25% of all affordable Housing should be First Homes is formalised, the neighbourhood group will need to take account of how this could impact on affordable housing polices (particularly the tenure mix) in the Neighbourhood Plan. The evidence gathered here suggests that this proposal </w:t>
      </w:r>
      <w:r w:rsidRPr="00E112E8">
        <w:t xml:space="preserve">would </w:t>
      </w:r>
      <w:r w:rsidRPr="00EF1FA9">
        <w:t xml:space="preserve">impact on the ability of </w:t>
      </w:r>
      <w:r w:rsidR="0015105E">
        <w:t>Weymouth</w:t>
      </w:r>
      <w:r w:rsidRPr="00EF1FA9">
        <w:t xml:space="preserve"> to accommodate those with the most acute needs</w:t>
      </w:r>
      <w:r w:rsidR="00E112E8">
        <w:t>, as these exceed the total likely delivery of affordable housing.</w:t>
      </w:r>
    </w:p>
    <w:p w14:paraId="6A223B93" w14:textId="5EF3F11D" w:rsidR="00EF1FA9" w:rsidRPr="00541284" w:rsidRDefault="00EF1FA9" w:rsidP="00A82210">
      <w:pPr>
        <w:pStyle w:val="ListNumber"/>
        <w:rPr>
          <w:szCs w:val="24"/>
        </w:rPr>
      </w:pPr>
      <w:r>
        <w:t>I</w:t>
      </w:r>
      <w:r w:rsidRPr="00352ACD">
        <w:t>t is recommended that consideration is also given to alternative mechanisms capable of helping to meet local need, where appropriate (i.e. exception sites or community led housing)</w:t>
      </w:r>
      <w:r w:rsidR="00E112E8">
        <w:t>, as it is likely that total affordable housing delivery will not meet identified need, if this is solely secured through planning obligations on market led development</w:t>
      </w:r>
      <w:r w:rsidRPr="00352ACD">
        <w:t xml:space="preserve">. </w:t>
      </w:r>
    </w:p>
    <w:p w14:paraId="30C16CE3" w14:textId="7A0318FC" w:rsidR="00EF1FA9" w:rsidRPr="00EF1FA9" w:rsidRDefault="00EF1FA9" w:rsidP="00A82210">
      <w:pPr>
        <w:pStyle w:val="ListNumber"/>
      </w:pPr>
      <w:r w:rsidRPr="00EF1FA9">
        <w:t xml:space="preserve">However, the neighbourhood planners should note that the First Homes product has not been formally implemented, and should </w:t>
      </w:r>
      <w:r w:rsidR="00BF42AD">
        <w:t>await</w:t>
      </w:r>
      <w:r w:rsidR="00BF42AD" w:rsidRPr="00EF1FA9">
        <w:t xml:space="preserve"> </w:t>
      </w:r>
      <w:r w:rsidRPr="00EF1FA9">
        <w:t>the outcome of the Government consultation.</w:t>
      </w:r>
    </w:p>
    <w:p w14:paraId="2586E120" w14:textId="339E9795" w:rsidR="002C2D5C" w:rsidRPr="00ED00FF" w:rsidRDefault="002C2D5C" w:rsidP="002C2D5C">
      <w:pPr>
        <w:pStyle w:val="Heading2"/>
        <w:jc w:val="both"/>
      </w:pPr>
      <w:bookmarkStart w:id="121" w:name="_Toc64026805"/>
      <w:bookmarkEnd w:id="120"/>
      <w:r w:rsidRPr="00ED00FF">
        <w:t>Conclusions</w:t>
      </w:r>
      <w:r w:rsidR="00BB090C">
        <w:t>- Tenure and A</w:t>
      </w:r>
      <w:r w:rsidR="00215D9F">
        <w:t>ffordability</w:t>
      </w:r>
      <w:bookmarkEnd w:id="121"/>
    </w:p>
    <w:p w14:paraId="70B97F33" w14:textId="77777777" w:rsidR="001923DD" w:rsidRDefault="001923DD" w:rsidP="001923DD">
      <w:pPr>
        <w:pStyle w:val="ListNumber"/>
      </w:pPr>
      <w:bookmarkStart w:id="122" w:name="_Hlk60993563"/>
      <w:bookmarkStart w:id="123" w:name="_Hlk21429429"/>
      <w:bookmarkStart w:id="124" w:name="_Hlk63935023"/>
      <w:r>
        <w:t>The current profile of Weymouth in terms of tenure and affordability is not too dissimilar from that of the Dorset area overall. The NA is characterized by:</w:t>
      </w:r>
    </w:p>
    <w:p w14:paraId="1751C868" w14:textId="1725DD27" w:rsidR="001923DD" w:rsidRPr="007D3A35" w:rsidRDefault="001923DD" w:rsidP="007D3A35">
      <w:pPr>
        <w:pStyle w:val="ListBullet"/>
      </w:pPr>
      <w:r w:rsidRPr="007D3A35">
        <w:t>average incomes of £39</w:t>
      </w:r>
      <w:r w:rsidR="004764AA">
        <w:t>,</w:t>
      </w:r>
      <w:r w:rsidRPr="007D3A35">
        <w:t>929, which is above the national average, and average lower quartile incomes of £14,745 in households with one LQ income and £29,490 in households with two LQ incomes); and</w:t>
      </w:r>
    </w:p>
    <w:p w14:paraId="37820171" w14:textId="77777777" w:rsidR="001923DD" w:rsidRPr="007D3A35" w:rsidRDefault="001923DD" w:rsidP="007D3A35">
      <w:pPr>
        <w:pStyle w:val="ListBullet"/>
      </w:pPr>
      <w:r w:rsidRPr="007D3A35">
        <w:t>average house sale prices unaffordable on average incomes (with an average resale home requiring on income of over £60,000 and a new build requiring on average an income of over £100,000).</w:t>
      </w:r>
    </w:p>
    <w:p w14:paraId="117E26B8" w14:textId="7B9D8364" w:rsidR="001923DD" w:rsidRDefault="001923DD" w:rsidP="001923DD">
      <w:pPr>
        <w:pStyle w:val="ListNumber"/>
      </w:pPr>
      <w:r>
        <w:t xml:space="preserve">Those households on two lower quartile incomes (as measured at overall local authority level) cannot afford any of the available tenures in </w:t>
      </w:r>
      <w:r w:rsidR="004F6EDD">
        <w:t xml:space="preserve">Weymouth </w:t>
      </w:r>
      <w:r>
        <w:t>without recourse to benefits to top up their incomes, except social and affordable rent. Those households on a single lower quartile income would on average not even be able to afford a social rented property without recourse to benefits.</w:t>
      </w:r>
    </w:p>
    <w:p w14:paraId="2FA00C14" w14:textId="3004E926" w:rsidR="001923DD" w:rsidRPr="00C378B2" w:rsidRDefault="001923DD" w:rsidP="001923DD">
      <w:pPr>
        <w:pStyle w:val="ListNumber"/>
      </w:pPr>
      <w:r>
        <w:t>Weymouth has slightly higher than national average levels of owner occupation (67%)</w:t>
      </w:r>
      <w:r w:rsidR="00A05781">
        <w:t>,</w:t>
      </w:r>
      <w:r>
        <w:t xml:space="preserve"> similar percentages of private renting (18%) and slightly lower levels of social renting at 14%. Shared ownership makes up the smallest percentage of households, at 0.6%, which is a similar situation as across Dorset and England as a whole. Private renting is the second most popular tenure, after home ownership. In</w:t>
      </w:r>
      <w:r w:rsidRPr="00C378B2">
        <w:t xml:space="preserve"> the intercensal period</w:t>
      </w:r>
      <w:r>
        <w:t>, the largest proportional increase was a 75% rise in private renting in Weymouth. Shared ownership as a tenure also increase by a large percentage of 59%, but in total still only makes up a very small share of households both before and after 2011. Home ownership fell by 4% and social renting increased by just under 10%.</w:t>
      </w:r>
    </w:p>
    <w:p w14:paraId="29FC2DB0" w14:textId="54D9E10B" w:rsidR="001923DD" w:rsidRDefault="001923DD" w:rsidP="001923DD">
      <w:pPr>
        <w:pStyle w:val="ListNumber"/>
      </w:pPr>
      <w:r>
        <w:t>Those on average incomes who do not already own their own home in Weymouth, will not be able to afford to buy their own home, but they will be able to rent in the market. The only affordable ways to home ownership on an average income in Weymouth are either through shared ownership at 25% or through a discount market sale scheme, which would have to offer a minimum discount of at least 34%. 20 or 30% discount market sale schemes or 50% shared ownership would still be unaffordable on average incomes in Weymouth (although shared ownership at 50% is only very marginally unaffordable). First Homes will be unaffordable on average incomes at the government proposed 30% discount but may be an appropriate option if higher discounts</w:t>
      </w:r>
      <w:r w:rsidR="007F7602">
        <w:t xml:space="preserve"> of over 34%</w:t>
      </w:r>
      <w:r>
        <w:t xml:space="preserve"> can be negotiated (with the consultation suggesting 40% or 50% could be secured where justified and viable).</w:t>
      </w:r>
    </w:p>
    <w:p w14:paraId="4A718B49" w14:textId="506DCDD2" w:rsidR="001923DD" w:rsidRDefault="001923DD" w:rsidP="001923DD">
      <w:pPr>
        <w:pStyle w:val="ListNumber"/>
      </w:pPr>
      <w:r w:rsidRPr="003A717B">
        <w:t xml:space="preserve">The overall </w:t>
      </w:r>
      <w:r w:rsidR="007F7602">
        <w:t xml:space="preserve">minimum </w:t>
      </w:r>
      <w:r w:rsidRPr="003A717B">
        <w:t xml:space="preserve">affordable housing need likely to arise over the plan period in line with </w:t>
      </w:r>
      <w:r>
        <w:t>the most recent SHMA</w:t>
      </w:r>
      <w:r w:rsidRPr="003A717B">
        <w:t xml:space="preserve"> is </w:t>
      </w:r>
      <w:r>
        <w:t>1,775 units</w:t>
      </w:r>
      <w:r w:rsidRPr="003A717B">
        <w:t xml:space="preserve"> (</w:t>
      </w:r>
      <w:r>
        <w:t>1,260</w:t>
      </w:r>
      <w:r w:rsidRPr="003A717B">
        <w:t xml:space="preserve"> affordable homes needed for rent + </w:t>
      </w:r>
      <w:r>
        <w:t>515</w:t>
      </w:r>
      <w:r w:rsidRPr="003A717B">
        <w:t xml:space="preserve"> affordable homes needed for sale). </w:t>
      </w:r>
      <w:r>
        <w:t xml:space="preserve">Supplementary AECOM calculations show that the potential demand for affordable housing for sale could in reality be much higher, up to 2,649 units over the Neighbourhood Plan period. </w:t>
      </w:r>
      <w:r w:rsidR="007F7602">
        <w:t xml:space="preserve">Weymouth’s overall housing requirement (and therefore likely delivery) is unlikely to </w:t>
      </w:r>
      <w:r w:rsidRPr="003A717B">
        <w:t>allow affordable housing needs to be met in full over the plan period</w:t>
      </w:r>
      <w:r>
        <w:t xml:space="preserve"> </w:t>
      </w:r>
      <w:r w:rsidRPr="003A717B">
        <w:t>through planning obligations. To meet identified affordable housing needs, all housing need would need to be met</w:t>
      </w:r>
      <w:r>
        <w:t xml:space="preserve"> (the HRF assigned to the NP is 3,225)</w:t>
      </w:r>
      <w:r w:rsidRPr="003A717B">
        <w:t xml:space="preserve"> and </w:t>
      </w:r>
      <w:r>
        <w:t>55</w:t>
      </w:r>
      <w:r w:rsidRPr="003A717B">
        <w:t xml:space="preserve">% of all homes would need to be delivered as affordable, with </w:t>
      </w:r>
      <w:r>
        <w:t>71</w:t>
      </w:r>
      <w:r w:rsidRPr="003A717B">
        <w:t xml:space="preserve">% of these as affordable housing for </w:t>
      </w:r>
      <w:r>
        <w:t>rent</w:t>
      </w:r>
      <w:r w:rsidRPr="003A717B">
        <w:t xml:space="preserve"> and </w:t>
      </w:r>
      <w:r>
        <w:t>29</w:t>
      </w:r>
      <w:r w:rsidRPr="003A717B">
        <w:t xml:space="preserve">% as affordable housing for </w:t>
      </w:r>
      <w:r w:rsidR="005D4C50">
        <w:t>sale</w:t>
      </w:r>
      <w:r w:rsidRPr="003A717B">
        <w:t>.</w:t>
      </w:r>
    </w:p>
    <w:p w14:paraId="00F93AE7" w14:textId="44751624" w:rsidR="001923DD" w:rsidRPr="003A717B" w:rsidRDefault="001923DD" w:rsidP="001923DD">
      <w:pPr>
        <w:pStyle w:val="ListNumber"/>
      </w:pPr>
      <w:r w:rsidRPr="00861EC1">
        <w:t xml:space="preserve">In line with these </w:t>
      </w:r>
      <w:r>
        <w:t>assumptions</w:t>
      </w:r>
      <w:r w:rsidRPr="00861EC1">
        <w:t>, the maximum Affordable Housing</w:t>
      </w:r>
      <w:r>
        <w:t xml:space="preserve"> delivery</w:t>
      </w:r>
      <w:r w:rsidRPr="00861EC1">
        <w:t xml:space="preserve"> that </w:t>
      </w:r>
      <w:r w:rsidR="004955F0">
        <w:t>is likely to come</w:t>
      </w:r>
      <w:r w:rsidRPr="00861EC1">
        <w:t xml:space="preserve"> forward over the plan period through </w:t>
      </w:r>
      <w:r>
        <w:t>planning obligations</w:t>
      </w:r>
      <w:r w:rsidRPr="00861EC1">
        <w:t xml:space="preserve"> would be </w:t>
      </w:r>
      <w:r>
        <w:t>1,129</w:t>
      </w:r>
      <w:r w:rsidRPr="00861EC1">
        <w:t xml:space="preserve"> units</w:t>
      </w:r>
      <w:r>
        <w:t xml:space="preserve"> (35% of the total housing requirement of</w:t>
      </w:r>
      <w:r w:rsidR="00CE5EFE">
        <w:t xml:space="preserve"> 3,225</w:t>
      </w:r>
      <w:r>
        <w:t xml:space="preserve"> in line with the adopted Local Plan</w:t>
      </w:r>
      <w:r w:rsidR="004955F0">
        <w:t>, which is similar to the 35% requirement for the wider Weymouth Area in the emerging Local Plan</w:t>
      </w:r>
      <w:r>
        <w:t>)</w:t>
      </w:r>
      <w:r w:rsidR="004955F0">
        <w:t xml:space="preserve">. If housing primarily comes forward in Weymouth town centre under the emerging Local Plan, a lower affordable housing delivery of </w:t>
      </w:r>
      <w:r>
        <w:t>806 units</w:t>
      </w:r>
      <w:r w:rsidR="004955F0">
        <w:t xml:space="preserve"> is more likely</w:t>
      </w:r>
      <w:r>
        <w:t xml:space="preserve"> (</w:t>
      </w:r>
      <w:r w:rsidR="004955F0">
        <w:t xml:space="preserve">in line with the </w:t>
      </w:r>
      <w:r>
        <w:t>25%</w:t>
      </w:r>
      <w:r w:rsidR="00CE5EFE">
        <w:t xml:space="preserve"> </w:t>
      </w:r>
      <w:r w:rsidR="004955F0">
        <w:t xml:space="preserve">requirement for Weymouth town centre </w:t>
      </w:r>
      <w:r w:rsidR="001F5561">
        <w:t xml:space="preserve">applied to the HRF of </w:t>
      </w:r>
      <w:r w:rsidR="00CE5EFE">
        <w:t>3,225</w:t>
      </w:r>
      <w:r>
        <w:t xml:space="preserve"> in line with the emerging new Local Plan)</w:t>
      </w:r>
      <w:r w:rsidRPr="00861EC1">
        <w:t xml:space="preserve">. </w:t>
      </w:r>
      <w:r w:rsidRPr="00097E17">
        <w:t xml:space="preserve">Table </w:t>
      </w:r>
      <w:r>
        <w:t>4-</w:t>
      </w:r>
      <w:r w:rsidR="007F7602">
        <w:t>10</w:t>
      </w:r>
      <w:r w:rsidRPr="00097E17">
        <w:t xml:space="preserve"> below sum</w:t>
      </w:r>
      <w:r w:rsidR="007F7602">
        <w:t>m</w:t>
      </w:r>
      <w:r w:rsidRPr="00097E17">
        <w:t xml:space="preserve">arises </w:t>
      </w:r>
      <w:r>
        <w:t>Weymouth’s</w:t>
      </w:r>
      <w:r w:rsidRPr="00097E17">
        <w:t xml:space="preserve"> position with regards to the expected delivery of Affordable Housing, and how this might ideally be apportioned among sub-categories of tenure to meet local needs over the Plan period</w:t>
      </w:r>
      <w:r>
        <w:t xml:space="preserve"> (90% affordable housing for rent and 10% affordable housing for sale)</w:t>
      </w:r>
      <w:r w:rsidRPr="00097E17">
        <w:t>. This exercise simply applies the housing requirement figure for the area to the Local Plan policy expectation and shows the quantities of affordable housing for rent and sale that would be delivered if each of the tenure mixes proposed in this HNA were rigidly enforced. In this sense it is hypothetical, and the outcomes in practice may differ, either as a result of measures taken in the neighborhood plan (e.g. if the group plan for more housing</w:t>
      </w:r>
      <w:r w:rsidR="007F7602">
        <w:t xml:space="preserve">, </w:t>
      </w:r>
      <w:r w:rsidRPr="00097E17">
        <w:t>and therefore more affordable housing</w:t>
      </w:r>
      <w:r w:rsidR="007F7602">
        <w:t>,</w:t>
      </w:r>
      <w:r w:rsidRPr="00097E17">
        <w:t xml:space="preserve"> than the local plan, or if the group decide to influence the tenure mix in other ways), or as a result of </w:t>
      </w:r>
      <w:r w:rsidRPr="003A717B">
        <w:t>site-specific constraints.</w:t>
      </w:r>
    </w:p>
    <w:p w14:paraId="7455590D" w14:textId="77777777" w:rsidR="001923DD" w:rsidRPr="003A717B" w:rsidRDefault="001923DD" w:rsidP="001923DD">
      <w:pPr>
        <w:pStyle w:val="ListNumber"/>
      </w:pPr>
      <w:r w:rsidRPr="003A717B">
        <w:t>Note that this table assumes that most or all of the expected housing delivery in the NA will take place after the Government’s proposal to temporarily lift the site size threshold for Affordable Housing has ended. If that period extends beyond the date on which the Neighbourhood Plan is made and also influences the rate of Affordable Housing delivery on relevant development sites, the quantity of Affordable Housing to be provided in the NA during the Plan period may be lower than the estimate below.</w:t>
      </w:r>
    </w:p>
    <w:p w14:paraId="58F96D16" w14:textId="46EAD72E" w:rsidR="001923DD" w:rsidRDefault="001923DD" w:rsidP="001923DD">
      <w:pPr>
        <w:pStyle w:val="ListNumber"/>
      </w:pPr>
      <w:r w:rsidRPr="001923DD">
        <w:t>Two indicative tenure mixes have been provided, which could serve as a guideline for the breakdown of Affordable Housing tenures in Weymouth based on various considerations and evidence. Mix 1 (indicative mix based on local needs) proposes that 90% of affordable homes be provided as rented tenures, and the remaining 10% delivered as affordable routes to home ownership.</w:t>
      </w:r>
      <w:r w:rsidR="007F7602">
        <w:t xml:space="preserve"> This</w:t>
      </w:r>
      <w:r w:rsidRPr="001923DD">
        <w:t xml:space="preserve"> </w:t>
      </w:r>
      <w:r w:rsidR="007F7602">
        <w:t>is in conformity</w:t>
      </w:r>
      <w:r w:rsidRPr="003A717B">
        <w:t xml:space="preserve"> with the </w:t>
      </w:r>
      <w:r>
        <w:t xml:space="preserve">adopted and emerging </w:t>
      </w:r>
      <w:r w:rsidRPr="003A717B">
        <w:t>Local Plan in prioritising the most acute needs as far as possible</w:t>
      </w:r>
      <w:r>
        <w:t>, delivering a minimum of 70% affordable housing for rent and a minimum 10% for sale</w:t>
      </w:r>
      <w:r w:rsidRPr="003A717B">
        <w:t>.</w:t>
      </w:r>
      <w:r w:rsidRPr="001923DD">
        <w:t xml:space="preserve"> Mix 2 (indicative mix with 25% First Homes requirement) proposes that 70% of affordable homes be provided as rented tenures, with the remaining 30% as affordable housing for sale, with the majority of this </w:t>
      </w:r>
      <w:r w:rsidR="007F7602">
        <w:t xml:space="preserve">(25%) </w:t>
      </w:r>
      <w:r w:rsidRPr="001923DD">
        <w:t>as First Homes. This aligns with the direction of proposed national policy, which includes a mandated minimum level of delivery of the Government’s new First Homes affordable home ownership product.</w:t>
      </w:r>
      <w:r>
        <w:t xml:space="preserve"> </w:t>
      </w:r>
    </w:p>
    <w:p w14:paraId="44037415" w14:textId="3E3C1C70" w:rsidR="00A364B7" w:rsidRPr="003A717B" w:rsidRDefault="00A364B7" w:rsidP="001923DD">
      <w:pPr>
        <w:pStyle w:val="ListNumber"/>
      </w:pPr>
      <w:r>
        <w:t xml:space="preserve">Please note that this mix is </w:t>
      </w:r>
      <w:r w:rsidR="004955F0">
        <w:t xml:space="preserve">optimistically </w:t>
      </w:r>
      <w:r>
        <w:t xml:space="preserve">based on the </w:t>
      </w:r>
      <w:r w:rsidR="004955F0">
        <w:t>3</w:t>
      </w:r>
      <w:r>
        <w:t xml:space="preserve">5% affordable housing requirement in the </w:t>
      </w:r>
      <w:r w:rsidR="004955F0">
        <w:t xml:space="preserve">adopted Local Plan and the 35% requirement for the wider Weymouth area in the </w:t>
      </w:r>
      <w:r>
        <w:t xml:space="preserve">emerging new Local Plan, rather than the </w:t>
      </w:r>
      <w:r w:rsidR="004955F0">
        <w:t>2</w:t>
      </w:r>
      <w:r>
        <w:t xml:space="preserve">5% requirement </w:t>
      </w:r>
      <w:r w:rsidR="004955F0">
        <w:t xml:space="preserve">for Weymouth town centre </w:t>
      </w:r>
      <w:r>
        <w:t xml:space="preserve">in the </w:t>
      </w:r>
      <w:r w:rsidR="004955F0">
        <w:t xml:space="preserve">emerging </w:t>
      </w:r>
      <w:r>
        <w:t xml:space="preserve">Local Plan, with the assumption that </w:t>
      </w:r>
      <w:r w:rsidR="004955F0">
        <w:t>housing will be delivered across the NA and not only at Weymouth town centre</w:t>
      </w:r>
      <w:r>
        <w:t>.</w:t>
      </w:r>
      <w:r w:rsidR="004955F0">
        <w:t xml:space="preserve"> If housing is delivered primarily in the town centre, affordable housing delivery will be lower.</w:t>
      </w:r>
      <w:r>
        <w:t xml:space="preserve"> </w:t>
      </w:r>
      <w:r w:rsidR="004955F0">
        <w:t xml:space="preserve">It is also worth bearing in mind </w:t>
      </w:r>
      <w:r w:rsidR="007D3A35">
        <w:t>the recent record of delivery of affordable housing in Weymouth and Portland, which has been only 13% in 2018-19 and 2017-18 and 24% in 2016-17 via planning obligations and which has included no affordable housing delivery at all on exception sites since 2012</w:t>
      </w:r>
      <w:r w:rsidR="007D3A35">
        <w:rPr>
          <w:rStyle w:val="FootnoteReference"/>
        </w:rPr>
        <w:footnoteReference w:id="35"/>
      </w:r>
      <w:r w:rsidR="007D3A35">
        <w:t>.</w:t>
      </w:r>
      <w:r w:rsidR="004955F0">
        <w:t xml:space="preserve"> This </w:t>
      </w:r>
      <w:r w:rsidR="00271956">
        <w:t>supports the assumption that 1,129 is likely to be the maximum affordable housing delivery to be expected through planning obligations in the NA.</w:t>
      </w:r>
      <w:r w:rsidR="007D3A35">
        <w:t xml:space="preserve"> </w:t>
      </w:r>
      <w:r w:rsidR="004955F0">
        <w:t>A</w:t>
      </w:r>
      <w:r>
        <w:t>s the new</w:t>
      </w:r>
      <w:r w:rsidR="007F7602">
        <w:t xml:space="preserve"> Local</w:t>
      </w:r>
      <w:r>
        <w:t xml:space="preserve"> Plan is currently still in draft and</w:t>
      </w:r>
      <w:r w:rsidR="007D3A35">
        <w:t xml:space="preserve"> both it and delivery trends</w:t>
      </w:r>
      <w:r>
        <w:t xml:space="preserve"> may change, we recommend that the group continue to monitor the progress of Dorset’s new Local Plan and determine any proposed mix in conversation with the local authority. </w:t>
      </w:r>
    </w:p>
    <w:bookmarkEnd w:id="122"/>
    <w:p w14:paraId="29451CBB" w14:textId="52336325" w:rsidR="00C8366B" w:rsidRPr="001923DD" w:rsidRDefault="001923DD" w:rsidP="001923DD">
      <w:pPr>
        <w:pStyle w:val="Caption"/>
      </w:pPr>
      <w:r w:rsidRPr="001923DD">
        <w:t xml:space="preserve">Table </w:t>
      </w:r>
      <w:r w:rsidR="00D72010">
        <w:fldChar w:fldCharType="begin"/>
      </w:r>
      <w:r w:rsidR="00D72010">
        <w:instrText xml:space="preserve"> STYLEREF 1 \s </w:instrText>
      </w:r>
      <w:r w:rsidR="00D72010">
        <w:fldChar w:fldCharType="separate"/>
      </w:r>
      <w:r w:rsidR="00BA4C32">
        <w:rPr>
          <w:noProof/>
        </w:rPr>
        <w:t>4</w:t>
      </w:r>
      <w:r w:rsidR="00D72010">
        <w:rPr>
          <w:noProof/>
        </w:rPr>
        <w:fldChar w:fldCharType="end"/>
      </w:r>
      <w:r w:rsidR="00BA4C32">
        <w:noBreakHyphen/>
      </w:r>
      <w:r w:rsidR="00D72010">
        <w:fldChar w:fldCharType="begin"/>
      </w:r>
      <w:r w:rsidR="00D72010">
        <w:instrText xml:space="preserve"> SEQ Table \* ARABIC \s 1 </w:instrText>
      </w:r>
      <w:r w:rsidR="00D72010">
        <w:fldChar w:fldCharType="separate"/>
      </w:r>
      <w:r w:rsidR="00BA4C32">
        <w:rPr>
          <w:noProof/>
        </w:rPr>
        <w:t>10</w:t>
      </w:r>
      <w:r w:rsidR="00D72010">
        <w:rPr>
          <w:noProof/>
        </w:rPr>
        <w:fldChar w:fldCharType="end"/>
      </w:r>
      <w:r w:rsidRPr="001923DD">
        <w:t xml:space="preserve">: </w:t>
      </w:r>
      <w:r w:rsidR="00C8366B" w:rsidRPr="001923DD">
        <w:t xml:space="preserve">Estimated delivery of Affordable Housing in </w:t>
      </w:r>
      <w:r w:rsidR="0015105E" w:rsidRPr="001923DD">
        <w:t>Weymouth</w:t>
      </w:r>
      <w:r>
        <w:t>, in line with the 25% affordable housing requirement proposed in the emerging new Local Plan</w:t>
      </w:r>
      <w:r w:rsidR="007A3147" w:rsidRPr="001923DD">
        <w:t xml:space="preserve"> </w:t>
      </w:r>
    </w:p>
    <w:tbl>
      <w:tblPr>
        <w:tblStyle w:val="TableGrid"/>
        <w:tblW w:w="9356" w:type="dxa"/>
        <w:tblInd w:w="421" w:type="dxa"/>
        <w:tblLook w:val="04A0" w:firstRow="1" w:lastRow="0" w:firstColumn="1" w:lastColumn="0" w:noHBand="0" w:noVBand="1"/>
      </w:tblPr>
      <w:tblGrid>
        <w:gridCol w:w="885"/>
        <w:gridCol w:w="4644"/>
        <w:gridCol w:w="1842"/>
        <w:gridCol w:w="1985"/>
      </w:tblGrid>
      <w:tr w:rsidR="00097E17" w:rsidRPr="00FC0D2E" w14:paraId="768B56B9" w14:textId="77777777" w:rsidTr="00832DE0">
        <w:trPr>
          <w:cnfStyle w:val="100000000000" w:firstRow="1" w:lastRow="0" w:firstColumn="0" w:lastColumn="0" w:oddVBand="0" w:evenVBand="0" w:oddHBand="0" w:evenHBand="0" w:firstRowFirstColumn="0" w:firstRowLastColumn="0" w:lastRowFirstColumn="0" w:lastRowLastColumn="0"/>
          <w:trHeight w:val="57"/>
        </w:trPr>
        <w:tc>
          <w:tcPr>
            <w:tcW w:w="885" w:type="dxa"/>
            <w:tcBorders>
              <w:top w:val="single" w:sz="4" w:space="0" w:color="auto"/>
              <w:left w:val="single" w:sz="4" w:space="0" w:color="auto"/>
              <w:bottom w:val="single" w:sz="4" w:space="0" w:color="auto"/>
              <w:right w:val="single" w:sz="4" w:space="0" w:color="auto"/>
            </w:tcBorders>
          </w:tcPr>
          <w:p w14:paraId="7811A8D1" w14:textId="77777777" w:rsidR="00097E17" w:rsidRPr="00FC0D2E" w:rsidRDefault="00097E17" w:rsidP="00A82210">
            <w:pPr>
              <w:pStyle w:val="ListNumber"/>
              <w:numPr>
                <w:ilvl w:val="0"/>
                <w:numId w:val="0"/>
              </w:numPr>
              <w:rPr>
                <w:lang w:eastAsia="en-US"/>
              </w:rPr>
            </w:pPr>
          </w:p>
        </w:tc>
        <w:tc>
          <w:tcPr>
            <w:tcW w:w="4644" w:type="dxa"/>
            <w:tcBorders>
              <w:top w:val="single" w:sz="4" w:space="0" w:color="auto"/>
              <w:left w:val="single" w:sz="4" w:space="0" w:color="auto"/>
              <w:bottom w:val="single" w:sz="4" w:space="0" w:color="auto"/>
              <w:right w:val="single" w:sz="4" w:space="0" w:color="auto"/>
            </w:tcBorders>
          </w:tcPr>
          <w:p w14:paraId="5886472C" w14:textId="77777777" w:rsidR="00097E17" w:rsidRPr="00FC0D2E" w:rsidRDefault="00097E17" w:rsidP="00A82210">
            <w:pPr>
              <w:pStyle w:val="ListNumber"/>
              <w:numPr>
                <w:ilvl w:val="0"/>
                <w:numId w:val="0"/>
              </w:numPr>
              <w:rPr>
                <w:lang w:eastAsia="en-US"/>
              </w:rPr>
            </w:pPr>
            <w:r w:rsidRPr="00FC0D2E">
              <w:rPr>
                <w:lang w:eastAsia="en-US"/>
              </w:rPr>
              <w:t>Step in Estimation</w:t>
            </w:r>
          </w:p>
        </w:tc>
        <w:tc>
          <w:tcPr>
            <w:tcW w:w="1842" w:type="dxa"/>
            <w:tcBorders>
              <w:top w:val="single" w:sz="4" w:space="0" w:color="auto"/>
              <w:left w:val="single" w:sz="4" w:space="0" w:color="auto"/>
              <w:bottom w:val="single" w:sz="4" w:space="0" w:color="auto"/>
              <w:right w:val="single" w:sz="4" w:space="0" w:color="auto"/>
            </w:tcBorders>
          </w:tcPr>
          <w:p w14:paraId="32653688" w14:textId="48795E5D" w:rsidR="00097E17" w:rsidRPr="00FC0D2E" w:rsidRDefault="00097E17" w:rsidP="00A82210">
            <w:pPr>
              <w:pStyle w:val="ListNumber"/>
              <w:numPr>
                <w:ilvl w:val="0"/>
                <w:numId w:val="0"/>
              </w:numPr>
              <w:rPr>
                <w:lang w:eastAsia="en-US"/>
              </w:rPr>
            </w:pPr>
            <w:r>
              <w:rPr>
                <w:lang w:eastAsia="en-US"/>
              </w:rPr>
              <w:t>Mix 1</w:t>
            </w:r>
            <w:r w:rsidRPr="00FC0D2E">
              <w:rPr>
                <w:lang w:eastAsia="en-US"/>
              </w:rPr>
              <w:t xml:space="preserve"> based on local needs</w:t>
            </w:r>
            <w:r w:rsidR="007D3A35">
              <w:rPr>
                <w:lang w:eastAsia="en-US"/>
              </w:rPr>
              <w:t xml:space="preserve"> </w:t>
            </w:r>
          </w:p>
        </w:tc>
        <w:tc>
          <w:tcPr>
            <w:tcW w:w="1985" w:type="dxa"/>
            <w:tcBorders>
              <w:top w:val="single" w:sz="4" w:space="0" w:color="auto"/>
              <w:left w:val="single" w:sz="4" w:space="0" w:color="auto"/>
              <w:bottom w:val="single" w:sz="4" w:space="0" w:color="auto"/>
              <w:right w:val="single" w:sz="4" w:space="0" w:color="auto"/>
            </w:tcBorders>
          </w:tcPr>
          <w:p w14:paraId="6FE9C72F" w14:textId="77777777" w:rsidR="00097E17" w:rsidRPr="00FC0D2E" w:rsidRDefault="00097E17" w:rsidP="00A82210">
            <w:pPr>
              <w:pStyle w:val="ListNumber"/>
              <w:numPr>
                <w:ilvl w:val="0"/>
                <w:numId w:val="0"/>
              </w:numPr>
              <w:rPr>
                <w:lang w:eastAsia="en-US"/>
              </w:rPr>
            </w:pPr>
            <w:r>
              <w:rPr>
                <w:lang w:eastAsia="en-US"/>
              </w:rPr>
              <w:t>Mix 2</w:t>
            </w:r>
            <w:r w:rsidRPr="00FC0D2E">
              <w:rPr>
                <w:lang w:eastAsia="en-US"/>
              </w:rPr>
              <w:t xml:space="preserve"> with 25% First Homes requirement</w:t>
            </w:r>
          </w:p>
        </w:tc>
      </w:tr>
      <w:tr w:rsidR="00097E17" w:rsidRPr="00FC0D2E" w14:paraId="574BB1D2" w14:textId="77777777" w:rsidTr="00832DE0">
        <w:trPr>
          <w:trHeight w:val="57"/>
        </w:trPr>
        <w:tc>
          <w:tcPr>
            <w:tcW w:w="885" w:type="dxa"/>
            <w:tcBorders>
              <w:top w:val="single" w:sz="4" w:space="0" w:color="auto"/>
              <w:left w:val="single" w:sz="4" w:space="0" w:color="auto"/>
              <w:bottom w:val="single" w:sz="4" w:space="0" w:color="auto"/>
              <w:right w:val="single" w:sz="4" w:space="0" w:color="auto"/>
            </w:tcBorders>
            <w:hideMark/>
          </w:tcPr>
          <w:p w14:paraId="5A8AF2C3" w14:textId="77777777" w:rsidR="00097E17" w:rsidRPr="00FC0D2E" w:rsidRDefault="00097E17" w:rsidP="00A82210">
            <w:pPr>
              <w:pStyle w:val="ListNumber"/>
              <w:numPr>
                <w:ilvl w:val="0"/>
                <w:numId w:val="0"/>
              </w:numPr>
              <w:rPr>
                <w:lang w:eastAsia="en-US"/>
              </w:rPr>
            </w:pPr>
            <w:r w:rsidRPr="00FC0D2E">
              <w:rPr>
                <w:lang w:eastAsia="en-US"/>
              </w:rPr>
              <w:t>A</w:t>
            </w:r>
          </w:p>
        </w:tc>
        <w:tc>
          <w:tcPr>
            <w:tcW w:w="4644" w:type="dxa"/>
            <w:tcBorders>
              <w:top w:val="single" w:sz="4" w:space="0" w:color="auto"/>
              <w:left w:val="single" w:sz="4" w:space="0" w:color="auto"/>
              <w:bottom w:val="single" w:sz="4" w:space="0" w:color="auto"/>
              <w:right w:val="single" w:sz="4" w:space="0" w:color="auto"/>
            </w:tcBorders>
            <w:hideMark/>
          </w:tcPr>
          <w:p w14:paraId="1F9010E9" w14:textId="738EE704" w:rsidR="00097E17" w:rsidRPr="00FC0D2E" w:rsidRDefault="00097E17" w:rsidP="00A82210">
            <w:pPr>
              <w:pStyle w:val="ListNumber"/>
              <w:numPr>
                <w:ilvl w:val="0"/>
                <w:numId w:val="0"/>
              </w:numPr>
              <w:rPr>
                <w:lang w:eastAsia="en-US"/>
              </w:rPr>
            </w:pPr>
            <w:r w:rsidRPr="00FC0D2E">
              <w:rPr>
                <w:lang w:eastAsia="en-US"/>
              </w:rPr>
              <w:t>Provisional capacity figure</w:t>
            </w:r>
            <w:r w:rsidR="00CE5EFE">
              <w:rPr>
                <w:lang w:eastAsia="en-US"/>
              </w:rPr>
              <w:t xml:space="preserve"> (based on the Weymouth NP HRF in the emerging Local Plan)</w:t>
            </w:r>
          </w:p>
        </w:tc>
        <w:tc>
          <w:tcPr>
            <w:tcW w:w="1842" w:type="dxa"/>
            <w:tcBorders>
              <w:top w:val="single" w:sz="4" w:space="0" w:color="auto"/>
              <w:left w:val="single" w:sz="4" w:space="0" w:color="auto"/>
              <w:bottom w:val="single" w:sz="4" w:space="0" w:color="auto"/>
              <w:right w:val="single" w:sz="4" w:space="0" w:color="auto"/>
            </w:tcBorders>
            <w:hideMark/>
          </w:tcPr>
          <w:p w14:paraId="74E58DF6" w14:textId="05F7A35A" w:rsidR="00097E17" w:rsidRPr="00097E17" w:rsidRDefault="00CE5EFE" w:rsidP="00A82210">
            <w:pPr>
              <w:pStyle w:val="ListNumber"/>
              <w:numPr>
                <w:ilvl w:val="0"/>
                <w:numId w:val="0"/>
              </w:numPr>
              <w:rPr>
                <w:highlight w:val="green"/>
                <w:lang w:eastAsia="en-US"/>
              </w:rPr>
            </w:pPr>
            <w:r>
              <w:t>3,225</w:t>
            </w:r>
          </w:p>
        </w:tc>
        <w:tc>
          <w:tcPr>
            <w:tcW w:w="1985" w:type="dxa"/>
            <w:tcBorders>
              <w:top w:val="single" w:sz="4" w:space="0" w:color="auto"/>
              <w:left w:val="single" w:sz="4" w:space="0" w:color="auto"/>
              <w:bottom w:val="single" w:sz="4" w:space="0" w:color="auto"/>
              <w:right w:val="single" w:sz="4" w:space="0" w:color="auto"/>
            </w:tcBorders>
          </w:tcPr>
          <w:p w14:paraId="258415F9" w14:textId="6115A80C" w:rsidR="00097E17" w:rsidRPr="00097E17" w:rsidRDefault="00CE5EFE" w:rsidP="00A82210">
            <w:pPr>
              <w:pStyle w:val="ListNumber"/>
              <w:numPr>
                <w:ilvl w:val="0"/>
                <w:numId w:val="0"/>
              </w:numPr>
              <w:rPr>
                <w:highlight w:val="green"/>
                <w:lang w:eastAsia="en-US"/>
              </w:rPr>
            </w:pPr>
            <w:r>
              <w:t>3,225</w:t>
            </w:r>
          </w:p>
        </w:tc>
      </w:tr>
      <w:tr w:rsidR="00097E17" w:rsidRPr="00FC0D2E" w14:paraId="29AA1E40" w14:textId="77777777" w:rsidTr="00832DE0">
        <w:trPr>
          <w:trHeight w:val="57"/>
        </w:trPr>
        <w:tc>
          <w:tcPr>
            <w:tcW w:w="885" w:type="dxa"/>
            <w:tcBorders>
              <w:top w:val="single" w:sz="4" w:space="0" w:color="auto"/>
              <w:left w:val="single" w:sz="4" w:space="0" w:color="auto"/>
              <w:bottom w:val="single" w:sz="4" w:space="0" w:color="auto"/>
              <w:right w:val="single" w:sz="4" w:space="0" w:color="auto"/>
            </w:tcBorders>
            <w:hideMark/>
          </w:tcPr>
          <w:p w14:paraId="0DF1A041" w14:textId="77777777" w:rsidR="00097E17" w:rsidRPr="00FC0D2E" w:rsidRDefault="00097E17" w:rsidP="00A82210">
            <w:pPr>
              <w:pStyle w:val="ListNumber"/>
              <w:numPr>
                <w:ilvl w:val="0"/>
                <w:numId w:val="0"/>
              </w:numPr>
              <w:rPr>
                <w:lang w:eastAsia="en-US"/>
              </w:rPr>
            </w:pPr>
            <w:r w:rsidRPr="00FC0D2E">
              <w:rPr>
                <w:lang w:eastAsia="en-US"/>
              </w:rPr>
              <w:t>B</w:t>
            </w:r>
          </w:p>
        </w:tc>
        <w:tc>
          <w:tcPr>
            <w:tcW w:w="4644" w:type="dxa"/>
            <w:tcBorders>
              <w:top w:val="single" w:sz="4" w:space="0" w:color="auto"/>
              <w:left w:val="single" w:sz="4" w:space="0" w:color="auto"/>
              <w:bottom w:val="single" w:sz="4" w:space="0" w:color="auto"/>
              <w:right w:val="single" w:sz="4" w:space="0" w:color="auto"/>
            </w:tcBorders>
            <w:hideMark/>
          </w:tcPr>
          <w:p w14:paraId="099DA4B9" w14:textId="231BD5B9" w:rsidR="00097E17" w:rsidRPr="00CE5EFE" w:rsidRDefault="00097E17" w:rsidP="00A82210">
            <w:pPr>
              <w:pStyle w:val="ListNumber"/>
              <w:numPr>
                <w:ilvl w:val="0"/>
                <w:numId w:val="0"/>
              </w:numPr>
              <w:rPr>
                <w:lang w:eastAsia="en-US"/>
              </w:rPr>
            </w:pPr>
            <w:r w:rsidRPr="00CE5EFE">
              <w:rPr>
                <w:lang w:eastAsia="en-US"/>
              </w:rPr>
              <w:t>Affordable housing quota (%) in LPA’s Local Plan</w:t>
            </w:r>
            <w:r w:rsidR="007D3A35" w:rsidRPr="00CE5EFE">
              <w:rPr>
                <w:lang w:eastAsia="en-US"/>
              </w:rPr>
              <w:t xml:space="preserve"> (using the emerging Local Plan target of </w:t>
            </w:r>
            <w:r w:rsidR="00271956">
              <w:rPr>
                <w:lang w:eastAsia="en-US"/>
              </w:rPr>
              <w:t>3</w:t>
            </w:r>
            <w:r w:rsidR="007D3A35" w:rsidRPr="00CE5EFE">
              <w:rPr>
                <w:lang w:eastAsia="en-US"/>
              </w:rPr>
              <w:t>5%</w:t>
            </w:r>
            <w:r w:rsidR="00271956">
              <w:rPr>
                <w:lang w:eastAsia="en-US"/>
              </w:rPr>
              <w:t xml:space="preserve"> for Zone 2, which applies across the NA, except to Weymouth town centre</w:t>
            </w:r>
            <w:r w:rsidR="007D3A35" w:rsidRPr="00CE5EFE">
              <w:rPr>
                <w:lang w:eastAsia="en-US"/>
              </w:rPr>
              <w:t>)</w:t>
            </w:r>
          </w:p>
        </w:tc>
        <w:tc>
          <w:tcPr>
            <w:tcW w:w="1842" w:type="dxa"/>
            <w:tcBorders>
              <w:top w:val="single" w:sz="4" w:space="0" w:color="auto"/>
              <w:left w:val="single" w:sz="4" w:space="0" w:color="auto"/>
              <w:bottom w:val="single" w:sz="4" w:space="0" w:color="auto"/>
              <w:right w:val="single" w:sz="4" w:space="0" w:color="auto"/>
            </w:tcBorders>
            <w:hideMark/>
          </w:tcPr>
          <w:p w14:paraId="7FC50F24" w14:textId="7DE2D64C" w:rsidR="00097E17" w:rsidRPr="00CE5EFE" w:rsidRDefault="00271956" w:rsidP="00A82210">
            <w:pPr>
              <w:pStyle w:val="ListNumber"/>
              <w:numPr>
                <w:ilvl w:val="0"/>
                <w:numId w:val="0"/>
              </w:numPr>
              <w:rPr>
                <w:lang w:eastAsia="en-US"/>
              </w:rPr>
            </w:pPr>
            <w:r>
              <w:rPr>
                <w:lang w:eastAsia="en-US"/>
              </w:rPr>
              <w:t>3</w:t>
            </w:r>
            <w:r w:rsidR="007D3A35" w:rsidRPr="00CE5EFE">
              <w:rPr>
                <w:lang w:eastAsia="en-US"/>
              </w:rPr>
              <w:t>5</w:t>
            </w:r>
            <w:r w:rsidR="00097E17" w:rsidRPr="00CE5EFE">
              <w:rPr>
                <w:lang w:eastAsia="en-US"/>
              </w:rPr>
              <w:t>%</w:t>
            </w:r>
          </w:p>
        </w:tc>
        <w:tc>
          <w:tcPr>
            <w:tcW w:w="1985" w:type="dxa"/>
            <w:tcBorders>
              <w:top w:val="single" w:sz="4" w:space="0" w:color="auto"/>
              <w:left w:val="single" w:sz="4" w:space="0" w:color="auto"/>
              <w:bottom w:val="single" w:sz="4" w:space="0" w:color="auto"/>
              <w:right w:val="single" w:sz="4" w:space="0" w:color="auto"/>
            </w:tcBorders>
          </w:tcPr>
          <w:p w14:paraId="45E2D249" w14:textId="02441561" w:rsidR="00097E17" w:rsidRPr="00CE5EFE" w:rsidRDefault="00271956" w:rsidP="00A82210">
            <w:pPr>
              <w:pStyle w:val="ListNumber"/>
              <w:numPr>
                <w:ilvl w:val="0"/>
                <w:numId w:val="0"/>
              </w:numPr>
              <w:rPr>
                <w:lang w:eastAsia="en-US"/>
              </w:rPr>
            </w:pPr>
            <w:r>
              <w:rPr>
                <w:lang w:eastAsia="en-US"/>
              </w:rPr>
              <w:t>3</w:t>
            </w:r>
            <w:r w:rsidR="007D3A35" w:rsidRPr="00CE5EFE">
              <w:rPr>
                <w:lang w:eastAsia="en-US"/>
              </w:rPr>
              <w:t>5</w:t>
            </w:r>
            <w:r w:rsidR="00097E17" w:rsidRPr="00CE5EFE">
              <w:rPr>
                <w:lang w:eastAsia="en-US"/>
              </w:rPr>
              <w:t>%</w:t>
            </w:r>
          </w:p>
        </w:tc>
      </w:tr>
      <w:tr w:rsidR="00097E17" w:rsidRPr="00FC0D2E" w14:paraId="4C502796" w14:textId="77777777" w:rsidTr="00832DE0">
        <w:trPr>
          <w:trHeight w:val="57"/>
        </w:trPr>
        <w:tc>
          <w:tcPr>
            <w:tcW w:w="885" w:type="dxa"/>
            <w:tcBorders>
              <w:top w:val="single" w:sz="4" w:space="0" w:color="auto"/>
              <w:left w:val="single" w:sz="4" w:space="0" w:color="auto"/>
              <w:bottom w:val="single" w:sz="4" w:space="0" w:color="auto"/>
              <w:right w:val="single" w:sz="4" w:space="0" w:color="auto"/>
            </w:tcBorders>
            <w:hideMark/>
          </w:tcPr>
          <w:p w14:paraId="7E574E05" w14:textId="77777777" w:rsidR="00097E17" w:rsidRPr="00FC0D2E" w:rsidRDefault="00097E17" w:rsidP="00A82210">
            <w:pPr>
              <w:pStyle w:val="ListNumber"/>
              <w:numPr>
                <w:ilvl w:val="0"/>
                <w:numId w:val="0"/>
              </w:numPr>
              <w:rPr>
                <w:lang w:eastAsia="en-US"/>
              </w:rPr>
            </w:pPr>
            <w:r w:rsidRPr="00FC0D2E">
              <w:rPr>
                <w:lang w:eastAsia="en-US"/>
              </w:rPr>
              <w:t>C</w:t>
            </w:r>
          </w:p>
        </w:tc>
        <w:tc>
          <w:tcPr>
            <w:tcW w:w="4644" w:type="dxa"/>
            <w:tcBorders>
              <w:top w:val="single" w:sz="4" w:space="0" w:color="auto"/>
              <w:left w:val="single" w:sz="4" w:space="0" w:color="auto"/>
              <w:bottom w:val="single" w:sz="4" w:space="0" w:color="auto"/>
              <w:right w:val="single" w:sz="4" w:space="0" w:color="auto"/>
            </w:tcBorders>
            <w:hideMark/>
          </w:tcPr>
          <w:p w14:paraId="76590EAC" w14:textId="77777777" w:rsidR="00097E17" w:rsidRPr="00FC0D2E" w:rsidRDefault="00097E17" w:rsidP="00A82210">
            <w:pPr>
              <w:pStyle w:val="ListNumber"/>
              <w:numPr>
                <w:ilvl w:val="0"/>
                <w:numId w:val="0"/>
              </w:numPr>
              <w:rPr>
                <w:lang w:eastAsia="en-US"/>
              </w:rPr>
            </w:pPr>
            <w:r w:rsidRPr="00FC0D2E">
              <w:rPr>
                <w:lang w:eastAsia="en-US"/>
              </w:rPr>
              <w:t>Potential total Affordable Housing in NA (A x B)</w:t>
            </w:r>
          </w:p>
        </w:tc>
        <w:tc>
          <w:tcPr>
            <w:tcW w:w="1842" w:type="dxa"/>
            <w:tcBorders>
              <w:top w:val="single" w:sz="4" w:space="0" w:color="auto"/>
              <w:left w:val="single" w:sz="4" w:space="0" w:color="auto"/>
              <w:bottom w:val="single" w:sz="4" w:space="0" w:color="auto"/>
              <w:right w:val="single" w:sz="4" w:space="0" w:color="auto"/>
            </w:tcBorders>
            <w:hideMark/>
          </w:tcPr>
          <w:p w14:paraId="5194DC3D" w14:textId="08F4CFC8" w:rsidR="00097E17" w:rsidRPr="00CE5EFE" w:rsidRDefault="00271956" w:rsidP="00A82210">
            <w:pPr>
              <w:pStyle w:val="ListNumber"/>
              <w:numPr>
                <w:ilvl w:val="0"/>
                <w:numId w:val="0"/>
              </w:numPr>
              <w:rPr>
                <w:lang w:eastAsia="en-US"/>
              </w:rPr>
            </w:pPr>
            <w:r>
              <w:rPr>
                <w:lang w:eastAsia="en-US"/>
              </w:rPr>
              <w:t>1,129</w:t>
            </w:r>
          </w:p>
        </w:tc>
        <w:tc>
          <w:tcPr>
            <w:tcW w:w="1985" w:type="dxa"/>
            <w:tcBorders>
              <w:top w:val="single" w:sz="4" w:space="0" w:color="auto"/>
              <w:left w:val="single" w:sz="4" w:space="0" w:color="auto"/>
              <w:bottom w:val="single" w:sz="4" w:space="0" w:color="auto"/>
              <w:right w:val="single" w:sz="4" w:space="0" w:color="auto"/>
            </w:tcBorders>
          </w:tcPr>
          <w:p w14:paraId="56D1DE76" w14:textId="32D3DF36" w:rsidR="00097E17" w:rsidRPr="00CE5EFE" w:rsidRDefault="00271956" w:rsidP="00A82210">
            <w:pPr>
              <w:pStyle w:val="ListNumber"/>
              <w:numPr>
                <w:ilvl w:val="0"/>
                <w:numId w:val="0"/>
              </w:numPr>
              <w:rPr>
                <w:lang w:eastAsia="en-US"/>
              </w:rPr>
            </w:pPr>
            <w:r>
              <w:rPr>
                <w:lang w:eastAsia="en-US"/>
              </w:rPr>
              <w:t>1,129</w:t>
            </w:r>
          </w:p>
        </w:tc>
      </w:tr>
      <w:tr w:rsidR="00097E17" w:rsidRPr="00FC0D2E" w14:paraId="3BF74A76" w14:textId="77777777" w:rsidTr="00832DE0">
        <w:trPr>
          <w:trHeight w:val="57"/>
        </w:trPr>
        <w:tc>
          <w:tcPr>
            <w:tcW w:w="885" w:type="dxa"/>
            <w:tcBorders>
              <w:top w:val="single" w:sz="4" w:space="0" w:color="auto"/>
              <w:left w:val="single" w:sz="4" w:space="0" w:color="auto"/>
              <w:bottom w:val="single" w:sz="4" w:space="0" w:color="auto"/>
              <w:right w:val="single" w:sz="4" w:space="0" w:color="auto"/>
            </w:tcBorders>
            <w:hideMark/>
          </w:tcPr>
          <w:p w14:paraId="3A0B93B6" w14:textId="77777777" w:rsidR="00097E17" w:rsidRPr="00FC0D2E" w:rsidRDefault="00097E17" w:rsidP="00A82210">
            <w:pPr>
              <w:pStyle w:val="ListNumber"/>
              <w:numPr>
                <w:ilvl w:val="0"/>
                <w:numId w:val="0"/>
              </w:numPr>
              <w:rPr>
                <w:lang w:eastAsia="en-US"/>
              </w:rPr>
            </w:pPr>
            <w:r w:rsidRPr="00FC0D2E">
              <w:rPr>
                <w:lang w:eastAsia="en-US"/>
              </w:rPr>
              <w:t>D</w:t>
            </w:r>
          </w:p>
        </w:tc>
        <w:tc>
          <w:tcPr>
            <w:tcW w:w="4644" w:type="dxa"/>
            <w:tcBorders>
              <w:top w:val="single" w:sz="4" w:space="0" w:color="auto"/>
              <w:left w:val="single" w:sz="4" w:space="0" w:color="auto"/>
              <w:bottom w:val="single" w:sz="4" w:space="0" w:color="auto"/>
              <w:right w:val="single" w:sz="4" w:space="0" w:color="auto"/>
            </w:tcBorders>
            <w:hideMark/>
          </w:tcPr>
          <w:p w14:paraId="692E8E5F" w14:textId="77777777" w:rsidR="00097E17" w:rsidRPr="00FC0D2E" w:rsidRDefault="00097E17" w:rsidP="00A82210">
            <w:pPr>
              <w:pStyle w:val="ListNumber"/>
              <w:numPr>
                <w:ilvl w:val="0"/>
                <w:numId w:val="0"/>
              </w:numPr>
              <w:rPr>
                <w:lang w:eastAsia="en-US"/>
              </w:rPr>
            </w:pPr>
            <w:r w:rsidRPr="00FC0D2E">
              <w:rPr>
                <w:lang w:eastAsia="en-US"/>
              </w:rPr>
              <w:t xml:space="preserve">Rented % (e.g. social/ affordable rented)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A18C9E0" w14:textId="77777777" w:rsidR="00097E17" w:rsidRPr="00CE5EFE" w:rsidRDefault="00097E17" w:rsidP="00A82210">
            <w:pPr>
              <w:pStyle w:val="ListNumber"/>
              <w:numPr>
                <w:ilvl w:val="0"/>
                <w:numId w:val="0"/>
              </w:numPr>
              <w:rPr>
                <w:lang w:eastAsia="en-US"/>
              </w:rPr>
            </w:pPr>
            <w:r w:rsidRPr="00CE5EFE">
              <w:rPr>
                <w:lang w:eastAsia="en-US"/>
              </w:rPr>
              <w:t>90%</w:t>
            </w:r>
          </w:p>
        </w:tc>
        <w:tc>
          <w:tcPr>
            <w:tcW w:w="1985" w:type="dxa"/>
            <w:tcBorders>
              <w:top w:val="single" w:sz="4" w:space="0" w:color="auto"/>
              <w:left w:val="single" w:sz="4" w:space="0" w:color="auto"/>
              <w:bottom w:val="single" w:sz="4" w:space="0" w:color="auto"/>
              <w:right w:val="single" w:sz="4" w:space="0" w:color="auto"/>
            </w:tcBorders>
          </w:tcPr>
          <w:p w14:paraId="64055769" w14:textId="31FF3E4F" w:rsidR="00097E17" w:rsidRPr="00CE5EFE" w:rsidRDefault="00097E17" w:rsidP="00A82210">
            <w:pPr>
              <w:pStyle w:val="ListNumber"/>
              <w:numPr>
                <w:ilvl w:val="0"/>
                <w:numId w:val="0"/>
              </w:numPr>
              <w:rPr>
                <w:lang w:eastAsia="en-US"/>
              </w:rPr>
            </w:pPr>
            <w:r w:rsidRPr="00CE5EFE">
              <w:rPr>
                <w:lang w:eastAsia="en-US"/>
              </w:rPr>
              <w:t>7</w:t>
            </w:r>
            <w:r w:rsidR="00CE5EFE" w:rsidRPr="00CE5EFE">
              <w:rPr>
                <w:lang w:eastAsia="en-US"/>
              </w:rPr>
              <w:t>0</w:t>
            </w:r>
            <w:r w:rsidRPr="00CE5EFE">
              <w:rPr>
                <w:lang w:eastAsia="en-US"/>
              </w:rPr>
              <w:t>%</w:t>
            </w:r>
          </w:p>
        </w:tc>
      </w:tr>
      <w:tr w:rsidR="00097E17" w:rsidRPr="00FC0D2E" w14:paraId="58463A7D" w14:textId="77777777" w:rsidTr="00832DE0">
        <w:trPr>
          <w:trHeight w:val="57"/>
        </w:trPr>
        <w:tc>
          <w:tcPr>
            <w:tcW w:w="885" w:type="dxa"/>
            <w:tcBorders>
              <w:top w:val="single" w:sz="4" w:space="0" w:color="auto"/>
              <w:left w:val="single" w:sz="4" w:space="0" w:color="auto"/>
              <w:bottom w:val="single" w:sz="4" w:space="0" w:color="auto"/>
              <w:right w:val="single" w:sz="4" w:space="0" w:color="auto"/>
            </w:tcBorders>
            <w:hideMark/>
          </w:tcPr>
          <w:p w14:paraId="18F05940" w14:textId="77777777" w:rsidR="00097E17" w:rsidRPr="00FC0D2E" w:rsidRDefault="00097E17" w:rsidP="00A82210">
            <w:pPr>
              <w:pStyle w:val="ListNumber"/>
              <w:numPr>
                <w:ilvl w:val="0"/>
                <w:numId w:val="0"/>
              </w:numPr>
              <w:rPr>
                <w:lang w:eastAsia="en-US"/>
              </w:rPr>
            </w:pPr>
            <w:r w:rsidRPr="00FC0D2E">
              <w:rPr>
                <w:lang w:eastAsia="en-US"/>
              </w:rPr>
              <w:t>E</w:t>
            </w:r>
          </w:p>
        </w:tc>
        <w:tc>
          <w:tcPr>
            <w:tcW w:w="4644" w:type="dxa"/>
            <w:tcBorders>
              <w:top w:val="single" w:sz="4" w:space="0" w:color="auto"/>
              <w:left w:val="single" w:sz="4" w:space="0" w:color="auto"/>
              <w:bottom w:val="single" w:sz="4" w:space="0" w:color="auto"/>
              <w:right w:val="single" w:sz="4" w:space="0" w:color="auto"/>
            </w:tcBorders>
            <w:hideMark/>
          </w:tcPr>
          <w:p w14:paraId="579CB18F" w14:textId="77777777" w:rsidR="00097E17" w:rsidRPr="00FC0D2E" w:rsidRDefault="00097E17" w:rsidP="00A82210">
            <w:pPr>
              <w:pStyle w:val="ListNumber"/>
              <w:numPr>
                <w:ilvl w:val="0"/>
                <w:numId w:val="0"/>
              </w:numPr>
              <w:rPr>
                <w:lang w:eastAsia="en-US"/>
              </w:rPr>
            </w:pPr>
            <w:r w:rsidRPr="00FC0D2E">
              <w:rPr>
                <w:lang w:eastAsia="en-US"/>
              </w:rPr>
              <w:t>Rented number (C x D)</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1549577" w14:textId="40015EC8" w:rsidR="00097E17" w:rsidRPr="00CE5EFE" w:rsidRDefault="00271956" w:rsidP="00A82210">
            <w:pPr>
              <w:pStyle w:val="ListNumber"/>
              <w:numPr>
                <w:ilvl w:val="0"/>
                <w:numId w:val="0"/>
              </w:numPr>
              <w:rPr>
                <w:lang w:eastAsia="en-US"/>
              </w:rPr>
            </w:pPr>
            <w:r>
              <w:rPr>
                <w:lang w:eastAsia="en-US"/>
              </w:rPr>
              <w:t>1,016</w:t>
            </w:r>
          </w:p>
        </w:tc>
        <w:tc>
          <w:tcPr>
            <w:tcW w:w="1985" w:type="dxa"/>
            <w:tcBorders>
              <w:top w:val="single" w:sz="4" w:space="0" w:color="auto"/>
              <w:left w:val="single" w:sz="4" w:space="0" w:color="auto"/>
              <w:bottom w:val="single" w:sz="4" w:space="0" w:color="auto"/>
              <w:right w:val="single" w:sz="4" w:space="0" w:color="auto"/>
            </w:tcBorders>
          </w:tcPr>
          <w:p w14:paraId="14F6B9E5" w14:textId="0F9E02A7" w:rsidR="00097E17" w:rsidRPr="00CE5EFE" w:rsidRDefault="00271956" w:rsidP="00A82210">
            <w:pPr>
              <w:pStyle w:val="ListNumber"/>
              <w:numPr>
                <w:ilvl w:val="0"/>
                <w:numId w:val="0"/>
              </w:numPr>
              <w:rPr>
                <w:lang w:eastAsia="en-US"/>
              </w:rPr>
            </w:pPr>
            <w:r>
              <w:rPr>
                <w:lang w:eastAsia="en-US"/>
              </w:rPr>
              <w:t>790</w:t>
            </w:r>
          </w:p>
        </w:tc>
      </w:tr>
      <w:tr w:rsidR="00097E17" w:rsidRPr="00FC0D2E" w14:paraId="6257CC48" w14:textId="77777777" w:rsidTr="00832DE0">
        <w:trPr>
          <w:trHeight w:val="57"/>
        </w:trPr>
        <w:tc>
          <w:tcPr>
            <w:tcW w:w="885" w:type="dxa"/>
            <w:tcBorders>
              <w:top w:val="single" w:sz="4" w:space="0" w:color="auto"/>
              <w:left w:val="single" w:sz="4" w:space="0" w:color="auto"/>
              <w:bottom w:val="single" w:sz="4" w:space="0" w:color="auto"/>
              <w:right w:val="single" w:sz="4" w:space="0" w:color="auto"/>
            </w:tcBorders>
            <w:hideMark/>
          </w:tcPr>
          <w:p w14:paraId="193EC55F" w14:textId="77777777" w:rsidR="00097E17" w:rsidRPr="00FC0D2E" w:rsidRDefault="00097E17" w:rsidP="00A82210">
            <w:pPr>
              <w:pStyle w:val="ListNumber"/>
              <w:numPr>
                <w:ilvl w:val="0"/>
                <w:numId w:val="0"/>
              </w:numPr>
              <w:rPr>
                <w:lang w:eastAsia="en-US"/>
              </w:rPr>
            </w:pPr>
            <w:r w:rsidRPr="00FC0D2E">
              <w:rPr>
                <w:lang w:eastAsia="en-US"/>
              </w:rPr>
              <w:t>F</w:t>
            </w:r>
          </w:p>
        </w:tc>
        <w:tc>
          <w:tcPr>
            <w:tcW w:w="4644" w:type="dxa"/>
            <w:tcBorders>
              <w:top w:val="single" w:sz="4" w:space="0" w:color="auto"/>
              <w:left w:val="single" w:sz="4" w:space="0" w:color="auto"/>
              <w:bottom w:val="single" w:sz="4" w:space="0" w:color="auto"/>
              <w:right w:val="single" w:sz="4" w:space="0" w:color="auto"/>
            </w:tcBorders>
            <w:hideMark/>
          </w:tcPr>
          <w:p w14:paraId="18269FF0" w14:textId="77777777" w:rsidR="00097E17" w:rsidRPr="00FC0D2E" w:rsidRDefault="00097E17" w:rsidP="00A82210">
            <w:pPr>
              <w:pStyle w:val="ListNumber"/>
              <w:numPr>
                <w:ilvl w:val="0"/>
                <w:numId w:val="0"/>
              </w:numPr>
              <w:rPr>
                <w:lang w:eastAsia="en-US"/>
              </w:rPr>
            </w:pPr>
            <w:r w:rsidRPr="00FC0D2E">
              <w:rPr>
                <w:lang w:eastAsia="en-US"/>
              </w:rPr>
              <w:t>Affordable home ownership % (e.g. First Homes, Rent to Buy)</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CD2662C" w14:textId="77777777" w:rsidR="00097E17" w:rsidRPr="00CE5EFE" w:rsidRDefault="00097E17" w:rsidP="00A82210">
            <w:pPr>
              <w:pStyle w:val="ListNumber"/>
              <w:numPr>
                <w:ilvl w:val="0"/>
                <w:numId w:val="0"/>
              </w:numPr>
              <w:rPr>
                <w:lang w:eastAsia="en-US"/>
              </w:rPr>
            </w:pPr>
            <w:r w:rsidRPr="00CE5EFE">
              <w:rPr>
                <w:lang w:eastAsia="en-US"/>
              </w:rPr>
              <w:t>10%</w:t>
            </w:r>
          </w:p>
        </w:tc>
        <w:tc>
          <w:tcPr>
            <w:tcW w:w="1985" w:type="dxa"/>
            <w:tcBorders>
              <w:top w:val="single" w:sz="4" w:space="0" w:color="auto"/>
              <w:left w:val="single" w:sz="4" w:space="0" w:color="auto"/>
              <w:bottom w:val="single" w:sz="4" w:space="0" w:color="auto"/>
              <w:right w:val="single" w:sz="4" w:space="0" w:color="auto"/>
            </w:tcBorders>
          </w:tcPr>
          <w:p w14:paraId="4EA6715D" w14:textId="580B9930" w:rsidR="00097E17" w:rsidRPr="00CE5EFE" w:rsidRDefault="00CE5EFE" w:rsidP="00A82210">
            <w:pPr>
              <w:pStyle w:val="ListNumber"/>
              <w:numPr>
                <w:ilvl w:val="0"/>
                <w:numId w:val="0"/>
              </w:numPr>
              <w:rPr>
                <w:lang w:eastAsia="en-US"/>
              </w:rPr>
            </w:pPr>
            <w:r w:rsidRPr="00CE5EFE">
              <w:rPr>
                <w:lang w:eastAsia="en-US"/>
              </w:rPr>
              <w:t>30</w:t>
            </w:r>
            <w:r w:rsidR="00097E17" w:rsidRPr="00CE5EFE">
              <w:rPr>
                <w:lang w:eastAsia="en-US"/>
              </w:rPr>
              <w:t>%</w:t>
            </w:r>
          </w:p>
        </w:tc>
      </w:tr>
      <w:tr w:rsidR="00097E17" w:rsidRPr="00FC0D2E" w14:paraId="63EB160A" w14:textId="77777777" w:rsidTr="00832DE0">
        <w:trPr>
          <w:trHeight w:val="57"/>
        </w:trPr>
        <w:tc>
          <w:tcPr>
            <w:tcW w:w="885" w:type="dxa"/>
            <w:tcBorders>
              <w:top w:val="single" w:sz="4" w:space="0" w:color="auto"/>
              <w:left w:val="single" w:sz="4" w:space="0" w:color="auto"/>
              <w:bottom w:val="single" w:sz="4" w:space="0" w:color="auto"/>
              <w:right w:val="single" w:sz="4" w:space="0" w:color="auto"/>
            </w:tcBorders>
            <w:hideMark/>
          </w:tcPr>
          <w:p w14:paraId="5D44DBA4" w14:textId="77777777" w:rsidR="00097E17" w:rsidRPr="00FC0D2E" w:rsidRDefault="00097E17" w:rsidP="00A82210">
            <w:pPr>
              <w:pStyle w:val="ListNumber"/>
              <w:numPr>
                <w:ilvl w:val="0"/>
                <w:numId w:val="0"/>
              </w:numPr>
              <w:rPr>
                <w:lang w:eastAsia="en-US"/>
              </w:rPr>
            </w:pPr>
            <w:r w:rsidRPr="00FC0D2E">
              <w:rPr>
                <w:lang w:eastAsia="en-US"/>
              </w:rPr>
              <w:t>G</w:t>
            </w:r>
          </w:p>
        </w:tc>
        <w:tc>
          <w:tcPr>
            <w:tcW w:w="4644" w:type="dxa"/>
            <w:tcBorders>
              <w:top w:val="single" w:sz="4" w:space="0" w:color="auto"/>
              <w:left w:val="single" w:sz="4" w:space="0" w:color="auto"/>
              <w:bottom w:val="single" w:sz="4" w:space="0" w:color="auto"/>
              <w:right w:val="single" w:sz="4" w:space="0" w:color="auto"/>
            </w:tcBorders>
            <w:hideMark/>
          </w:tcPr>
          <w:p w14:paraId="35AB1B97" w14:textId="77777777" w:rsidR="00097E17" w:rsidRPr="00FC0D2E" w:rsidRDefault="00097E17" w:rsidP="00A82210">
            <w:pPr>
              <w:pStyle w:val="ListNumber"/>
              <w:numPr>
                <w:ilvl w:val="0"/>
                <w:numId w:val="0"/>
              </w:numPr>
              <w:rPr>
                <w:lang w:eastAsia="en-US"/>
              </w:rPr>
            </w:pPr>
            <w:r w:rsidRPr="00FC0D2E">
              <w:rPr>
                <w:lang w:eastAsia="en-US"/>
              </w:rPr>
              <w:t>Affordable home ownership number (C x F)</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04E30BF" w14:textId="7959E7B5" w:rsidR="00097E17" w:rsidRPr="00CE5EFE" w:rsidRDefault="00271956" w:rsidP="00A82210">
            <w:pPr>
              <w:pStyle w:val="ListNumber"/>
              <w:numPr>
                <w:ilvl w:val="0"/>
                <w:numId w:val="0"/>
              </w:numPr>
              <w:rPr>
                <w:lang w:eastAsia="en-US"/>
              </w:rPr>
            </w:pPr>
            <w:r>
              <w:rPr>
                <w:lang w:eastAsia="en-US"/>
              </w:rPr>
              <w:t>113</w:t>
            </w:r>
          </w:p>
        </w:tc>
        <w:tc>
          <w:tcPr>
            <w:tcW w:w="1985" w:type="dxa"/>
            <w:tcBorders>
              <w:top w:val="single" w:sz="4" w:space="0" w:color="auto"/>
              <w:left w:val="single" w:sz="4" w:space="0" w:color="auto"/>
              <w:bottom w:val="single" w:sz="4" w:space="0" w:color="auto"/>
              <w:right w:val="single" w:sz="4" w:space="0" w:color="auto"/>
            </w:tcBorders>
          </w:tcPr>
          <w:p w14:paraId="52B0CE67" w14:textId="091AF681" w:rsidR="00097E17" w:rsidRPr="00CE5EFE" w:rsidRDefault="00271956" w:rsidP="00A82210">
            <w:pPr>
              <w:pStyle w:val="ListNumber"/>
              <w:numPr>
                <w:ilvl w:val="0"/>
                <w:numId w:val="0"/>
              </w:numPr>
              <w:rPr>
                <w:lang w:eastAsia="en-US"/>
              </w:rPr>
            </w:pPr>
            <w:r>
              <w:rPr>
                <w:lang w:eastAsia="en-US"/>
              </w:rPr>
              <w:t>339</w:t>
            </w:r>
          </w:p>
        </w:tc>
      </w:tr>
    </w:tbl>
    <w:p w14:paraId="06371071" w14:textId="660AFB66" w:rsidR="00C8366B" w:rsidRPr="002A7348" w:rsidRDefault="007A3147" w:rsidP="00CE5EFE">
      <w:pPr>
        <w:pStyle w:val="Source"/>
      </w:pPr>
      <w:r w:rsidRPr="002A7348">
        <w:t>Source: AECOM estimate based on LPA’s affordable housing policies, AECOM’s indicative tenure mix</w:t>
      </w:r>
    </w:p>
    <w:p w14:paraId="77DC0FA1" w14:textId="37CD0102" w:rsidR="007F7602" w:rsidRPr="00457973" w:rsidRDefault="00CE5EFE" w:rsidP="007F7602">
      <w:pPr>
        <w:pStyle w:val="ListNumber"/>
      </w:pPr>
      <w:r w:rsidRPr="002A7348">
        <w:t xml:space="preserve">Expected delivery under neither mix is likely to deliver adequate affordable housing to meet all of the estimated needs for the NA. AECOM therefore recommend that </w:t>
      </w:r>
      <w:r w:rsidR="006F3EEB" w:rsidRPr="002A7348">
        <w:t>the policy requirement be met wherever possible</w:t>
      </w:r>
      <w:r w:rsidRPr="002A7348">
        <w:t xml:space="preserve"> and that the group may wish to explore </w:t>
      </w:r>
      <w:r w:rsidR="006F3EEB" w:rsidRPr="002A7348">
        <w:t>further avenues for delivering greater quantities of Affordable Housing.</w:t>
      </w:r>
      <w:r w:rsidR="007F7602">
        <w:t xml:space="preserve"> This could include, f</w:t>
      </w:r>
      <w:bookmarkStart w:id="125" w:name="_Hlk21619974"/>
      <w:r w:rsidR="007F7602" w:rsidRPr="00457973">
        <w:t xml:space="preserve">or example, </w:t>
      </w:r>
      <w:r w:rsidR="007F7602">
        <w:t>through a use of</w:t>
      </w:r>
      <w:r w:rsidR="007F7602" w:rsidRPr="00457973">
        <w:t xml:space="preserve"> community development orders, </w:t>
      </w:r>
      <w:r w:rsidR="007F7602">
        <w:t xml:space="preserve">by </w:t>
      </w:r>
      <w:r w:rsidR="007F7602" w:rsidRPr="00457973">
        <w:t xml:space="preserve">identifying exception sites or </w:t>
      </w:r>
      <w:r w:rsidR="007F7602">
        <w:t xml:space="preserve">by </w:t>
      </w:r>
      <w:r w:rsidR="007F7602" w:rsidRPr="00457973">
        <w:t xml:space="preserve">developing </w:t>
      </w:r>
      <w:r w:rsidR="007F7602">
        <w:t xml:space="preserve">a </w:t>
      </w:r>
      <w:r w:rsidR="007F7602" w:rsidRPr="00457973">
        <w:t>community land trust</w:t>
      </w:r>
      <w:r w:rsidR="007F7602">
        <w:t>. These</w:t>
      </w:r>
      <w:r w:rsidR="007F7602" w:rsidRPr="00457973">
        <w:t xml:space="preserve"> are all tried and tested ways of boosting the supply of affordable housing above the minima indicated by Local Plan policy.</w:t>
      </w:r>
    </w:p>
    <w:p w14:paraId="29DED14B" w14:textId="6A6F6E21" w:rsidR="00457973" w:rsidRDefault="006F3EEB" w:rsidP="0047067F">
      <w:pPr>
        <w:pStyle w:val="ListNumber"/>
      </w:pPr>
      <w:r w:rsidRPr="00457973">
        <w:t>It is not recommended that the Local Plan policy requirement be exceeded in the neighbourhood plan because such steps are rarely accepted by planning inspectors on the grounds that an extremely high standard of justification is required which goes beyond the scope of this HNA, in particular around the issue of what level of Affordable Housing delivery can be financially viable in the NA.</w:t>
      </w:r>
      <w:r w:rsidR="00457973" w:rsidRPr="00457973">
        <w:t xml:space="preserve"> Raising the </w:t>
      </w:r>
      <w:r w:rsidR="007F7602">
        <w:t xml:space="preserve">total </w:t>
      </w:r>
      <w:r w:rsidR="00457973" w:rsidRPr="00457973">
        <w:t>percentage of Affordable Housing required could, furthermore, have the effect of discouraging new building from coming forward altogether. There is a possibility of arguing for adoption of a 35% affordable housing target in the Neighbourhood Plan while the currently adopted Local Plan is still in place, as well as a possibility of arguing for a 30% target</w:t>
      </w:r>
      <w:r w:rsidR="00271956">
        <w:t xml:space="preserve"> for We</w:t>
      </w:r>
      <w:r w:rsidR="001F5561">
        <w:t>y</w:t>
      </w:r>
      <w:r w:rsidR="00271956">
        <w:t>mouth Town Centre</w:t>
      </w:r>
      <w:r w:rsidR="00457973" w:rsidRPr="00457973">
        <w:t xml:space="preserve"> in line with the potential range </w:t>
      </w:r>
      <w:r w:rsidR="00271956">
        <w:t>mentioned in Figure 4.2 of the emerging Local Plan</w:t>
      </w:r>
      <w:r w:rsidR="00457973" w:rsidRPr="00457973">
        <w:t>. While this will not guarantee delivery, it could all be helpful to maximise affordable housing delivery in the NA. Should the group wish to consider such an option, it is advisable to discuss this with the LPA in the first instance</w:t>
      </w:r>
      <w:r w:rsidR="007F7602">
        <w:t>. T</w:t>
      </w:r>
      <w:r w:rsidR="00457973" w:rsidRPr="00457973">
        <w:t xml:space="preserve">he information contained in this HNA could be used to inform the discussion. </w:t>
      </w:r>
      <w:bookmarkEnd w:id="125"/>
    </w:p>
    <w:p w14:paraId="3928BDC6" w14:textId="6ADCE4A0" w:rsidR="002A7348" w:rsidRPr="004D4868" w:rsidRDefault="00830665" w:rsidP="002A7348">
      <w:pPr>
        <w:pStyle w:val="ListNumber"/>
      </w:pPr>
      <w:r w:rsidRPr="00616B01">
        <w:t xml:space="preserve">The findings of this chapter on the potential for providing affordable and low-cost tenures across the Neighbourhood Plan area </w:t>
      </w:r>
      <w:r w:rsidRPr="00457973">
        <w:t>align</w:t>
      </w:r>
      <w:r w:rsidRPr="00616B01">
        <w:t xml:space="preserve"> with those of the </w:t>
      </w:r>
      <w:r w:rsidR="007F7602">
        <w:t xml:space="preserve">latest </w:t>
      </w:r>
      <w:r w:rsidRPr="00616B01">
        <w:t>SHMA</w:t>
      </w:r>
      <w:r w:rsidR="007F7602">
        <w:t xml:space="preserve"> for Weymouth and Portland</w:t>
      </w:r>
      <w:r w:rsidRPr="00616B01">
        <w:t>.</w:t>
      </w:r>
      <w:r w:rsidR="00457973">
        <w:t xml:space="preserve"> </w:t>
      </w:r>
      <w:r w:rsidR="002A7348">
        <w:t xml:space="preserve">AECOM’s affordable housing need calculations also use the SHMAs analysis and data as a starting point. </w:t>
      </w:r>
      <w:r w:rsidR="00457973">
        <w:t xml:space="preserve">The SHMA </w:t>
      </w:r>
      <w:bookmarkEnd w:id="123"/>
      <w:r w:rsidR="00457973" w:rsidRPr="00645C74">
        <w:t>identifie</w:t>
      </w:r>
      <w:r w:rsidR="00457973">
        <w:t xml:space="preserve">d a net annual </w:t>
      </w:r>
      <w:r w:rsidR="00457973" w:rsidRPr="00645C74">
        <w:t xml:space="preserve">need </w:t>
      </w:r>
      <w:r w:rsidR="00457973">
        <w:t>for Weymouth and Portland, based on local housing market condition</w:t>
      </w:r>
      <w:r w:rsidR="007F7602">
        <w:t>s</w:t>
      </w:r>
      <w:r w:rsidR="00457973">
        <w:t>, in line with the outputs of an adjusted model based on locally specific affordability assumptions (see SHMA table 5.14)</w:t>
      </w:r>
      <w:r w:rsidR="00457973" w:rsidRPr="00645C74">
        <w:t xml:space="preserve">. </w:t>
      </w:r>
      <w:r w:rsidR="00457973">
        <w:t xml:space="preserve">This need was then disaggregated by size and type of home, identifying a predominant need </w:t>
      </w:r>
      <w:r w:rsidR="00457973" w:rsidRPr="00F04D60">
        <w:t>for social/affordable rent</w:t>
      </w:r>
      <w:r w:rsidR="00457973">
        <w:t>ed properties (71%)</w:t>
      </w:r>
      <w:r w:rsidR="00457973" w:rsidRPr="00F04D60">
        <w:t xml:space="preserve"> as </w:t>
      </w:r>
      <w:r w:rsidR="00457973">
        <w:t>this</w:t>
      </w:r>
      <w:r w:rsidR="00457973" w:rsidRPr="00F04D60">
        <w:t xml:space="preserve"> relates to households who live in unsuitable housing and who cannot afford to access market rents. A proportion of households</w:t>
      </w:r>
      <w:r w:rsidR="00457973">
        <w:t xml:space="preserve"> (29%) were also identified by the SHMA as being likely to afford affordable routes to home ownership such as shared ownership or discount home ownership.</w:t>
      </w:r>
      <w:r w:rsidR="002A7348">
        <w:t xml:space="preserve"> This results in a similar split as Mix 2 proposed above. The updated AECOM analysis judges the SHMA estimate of affordable housing need to be </w:t>
      </w:r>
      <w:r w:rsidR="007F7602">
        <w:t xml:space="preserve">a </w:t>
      </w:r>
      <w:r w:rsidR="002A7348">
        <w:t>reasonable</w:t>
      </w:r>
      <w:r w:rsidR="007F7602">
        <w:t xml:space="preserve"> minimum</w:t>
      </w:r>
      <w:r w:rsidR="002A7348">
        <w:t xml:space="preserve"> and that the full extent of households who may be interested in affordable home ownership could potentially be much higher. However, the latter is a less urgent need as these households are</w:t>
      </w:r>
      <w:r w:rsidR="002A7348" w:rsidRPr="004D4868">
        <w:t xml:space="preserve">, by and large, adequately housed in the private rented sector. They do not lack their own housing but would prefer to buy rather than rent. </w:t>
      </w:r>
    </w:p>
    <w:bookmarkEnd w:id="124"/>
    <w:p w14:paraId="541D6AD0" w14:textId="46427FC4" w:rsidR="00E112E8" w:rsidRPr="002A7348" w:rsidRDefault="00E112E8" w:rsidP="00E9576A">
      <w:pPr>
        <w:pStyle w:val="ListNumber"/>
        <w:numPr>
          <w:ilvl w:val="0"/>
          <w:numId w:val="0"/>
        </w:numPr>
        <w:ind w:left="425"/>
      </w:pPr>
    </w:p>
    <w:p w14:paraId="786B2803" w14:textId="77777777" w:rsidR="002C2D5C" w:rsidRDefault="002C2D5C" w:rsidP="00A82210">
      <w:pPr>
        <w:pStyle w:val="ListNumber"/>
        <w:numPr>
          <w:ilvl w:val="0"/>
          <w:numId w:val="0"/>
        </w:numPr>
        <w:ind w:left="425"/>
        <w:rPr>
          <w:rFonts w:eastAsiaTheme="majorEastAsia"/>
        </w:rPr>
      </w:pPr>
      <w:r>
        <w:br w:type="page"/>
      </w:r>
    </w:p>
    <w:p w14:paraId="41EAF752" w14:textId="2AAE2B94" w:rsidR="002C2D5C" w:rsidRDefault="002C2D5C" w:rsidP="002C2D5C">
      <w:pPr>
        <w:pStyle w:val="Heading1"/>
        <w:jc w:val="both"/>
      </w:pPr>
      <w:bookmarkStart w:id="126" w:name="_Toc64026806"/>
      <w:r>
        <w:t xml:space="preserve">RQ </w:t>
      </w:r>
      <w:r w:rsidR="00CF3E87">
        <w:t>2</w:t>
      </w:r>
      <w:r w:rsidR="00D272A0">
        <w:t>:</w:t>
      </w:r>
      <w:r w:rsidRPr="007C5C1C">
        <w:t xml:space="preserve"> </w:t>
      </w:r>
      <w:r>
        <w:t>Type and Size</w:t>
      </w:r>
      <w:bookmarkEnd w:id="126"/>
    </w:p>
    <w:p w14:paraId="0F41C335" w14:textId="5BEF5851" w:rsidR="00D272A0" w:rsidRDefault="005F54A3" w:rsidP="00A82210">
      <w:pPr>
        <w:pStyle w:val="ListNumber"/>
        <w:numPr>
          <w:ilvl w:val="0"/>
          <w:numId w:val="0"/>
        </w:numPr>
        <w:ind w:left="425"/>
      </w:pPr>
      <w:r w:rsidRPr="00747D45">
        <w:t xml:space="preserve">RQ </w:t>
      </w:r>
      <w:r w:rsidR="00CF3E87">
        <w:t>2</w:t>
      </w:r>
      <w:r w:rsidR="00D272A0" w:rsidRPr="00747D45">
        <w:t xml:space="preserve">: What type (terrace, semi, bungalows, flats and detached) and size (number of </w:t>
      </w:r>
      <w:r w:rsidR="001E2B97">
        <w:t>bed</w:t>
      </w:r>
      <w:r w:rsidR="00D272A0" w:rsidRPr="00747D45">
        <w:t xml:space="preserve">rooms) of housing is appropriate for </w:t>
      </w:r>
      <w:r w:rsidR="005F50BC">
        <w:t>the Plan area</w:t>
      </w:r>
      <w:r w:rsidR="00D272A0" w:rsidRPr="00747D45">
        <w:t xml:space="preserve"> over the Neighbourhood Plan period?</w:t>
      </w:r>
    </w:p>
    <w:p w14:paraId="1E0B01C9" w14:textId="0951851D" w:rsidR="008411EA" w:rsidRPr="008411EA" w:rsidRDefault="008411EA" w:rsidP="008411EA">
      <w:pPr>
        <w:pStyle w:val="Heading2"/>
        <w:keepNext w:val="0"/>
        <w:keepLines w:val="0"/>
        <w:widowControl w:val="0"/>
        <w:ind w:left="993"/>
        <w:jc w:val="both"/>
      </w:pPr>
      <w:bookmarkStart w:id="127" w:name="_Toc64026807"/>
      <w:r w:rsidRPr="00883E5F">
        <w:t>Introduction</w:t>
      </w:r>
      <w:bookmarkEnd w:id="127"/>
    </w:p>
    <w:p w14:paraId="272AD0A5" w14:textId="2105D5BD" w:rsidR="00E9576A" w:rsidRDefault="008411EA" w:rsidP="00E9576A">
      <w:pPr>
        <w:pStyle w:val="ListNumber"/>
      </w:pPr>
      <w:r>
        <w:t xml:space="preserve">The </w:t>
      </w:r>
      <w:r w:rsidR="0015105E">
        <w:t>Weymouth</w:t>
      </w:r>
      <w:r>
        <w:t xml:space="preserve"> Neighbourhood Plan </w:t>
      </w:r>
      <w:r w:rsidR="00352ACD">
        <w:t xml:space="preserve">may benefit from the </w:t>
      </w:r>
      <w:r>
        <w:t>inclu</w:t>
      </w:r>
      <w:r w:rsidR="00352ACD">
        <w:t>sion</w:t>
      </w:r>
      <w:r>
        <w:t xml:space="preserve"> </w:t>
      </w:r>
      <w:r w:rsidR="0047067F">
        <w:t xml:space="preserve">of </w:t>
      </w:r>
      <w:r>
        <w:t xml:space="preserve">policies informed by </w:t>
      </w:r>
      <w:r w:rsidR="0063091D">
        <w:t>evidence</w:t>
      </w:r>
      <w:r>
        <w:t xml:space="preserve"> on </w:t>
      </w:r>
      <w:r w:rsidRPr="008411EA">
        <w:t>what size</w:t>
      </w:r>
      <w:r>
        <w:t>s</w:t>
      </w:r>
      <w:r w:rsidRPr="008411EA">
        <w:t xml:space="preserve"> and type</w:t>
      </w:r>
      <w:r>
        <w:t>s</w:t>
      </w:r>
      <w:r w:rsidRPr="008411EA">
        <w:t xml:space="preserve"> of housing would be best suited to the local community. </w:t>
      </w:r>
      <w:r>
        <w:t>This will help ensure that f</w:t>
      </w:r>
      <w:r w:rsidRPr="008411EA">
        <w:t xml:space="preserve">uture developments give local people </w:t>
      </w:r>
      <w:r w:rsidR="0063091D">
        <w:t xml:space="preserve">options within the housing market </w:t>
      </w:r>
      <w:r w:rsidRPr="008411EA">
        <w:t>at all stages of life.</w:t>
      </w:r>
      <w:r w:rsidR="00354BE9">
        <w:t xml:space="preserve"> This is also something of particular interest to the group, as they</w:t>
      </w:r>
      <w:r w:rsidR="0047067F">
        <w:t xml:space="preserve"> have mentioned anecdotal evidence of </w:t>
      </w:r>
      <w:r w:rsidR="00354BE9">
        <w:t>a large</w:t>
      </w:r>
      <w:r w:rsidR="0047067F">
        <w:t>r than average</w:t>
      </w:r>
      <w:r w:rsidR="00354BE9">
        <w:t xml:space="preserve"> local population of older people and single households</w:t>
      </w:r>
      <w:r w:rsidR="0047067F">
        <w:t>,</w:t>
      </w:r>
      <w:r w:rsidR="00354BE9">
        <w:t xml:space="preserve"> who</w:t>
      </w:r>
      <w:r w:rsidR="0047067F">
        <w:t>m</w:t>
      </w:r>
      <w:r w:rsidR="00354BE9">
        <w:t xml:space="preserve"> they wish to ensure are adequately housed throughout the Neighbourhood Plan period.</w:t>
      </w:r>
      <w:r w:rsidR="00E9576A">
        <w:t xml:space="preserve"> </w:t>
      </w:r>
    </w:p>
    <w:p w14:paraId="04A7F541" w14:textId="7EDE09CC" w:rsidR="002C2D5C" w:rsidRPr="00CF3E87" w:rsidRDefault="002C2D5C" w:rsidP="00E9576A">
      <w:pPr>
        <w:pStyle w:val="ListNumber"/>
      </w:pPr>
      <w:r w:rsidRPr="008411EA">
        <w:t>PPG recommends a consideration of the existing housing provision and its suitability, having regard to demographic shifts in age and household composition, to address future, as well as current community</w:t>
      </w:r>
      <w:r w:rsidR="008411EA">
        <w:t xml:space="preserve"> need. For this reason, we firstly consider the type and size of </w:t>
      </w:r>
      <w:r w:rsidRPr="008411EA">
        <w:t xml:space="preserve">the existing housing stock in </w:t>
      </w:r>
      <w:r w:rsidR="0015105E">
        <w:t>Weymouth</w:t>
      </w:r>
      <w:r w:rsidRPr="008411EA">
        <w:t xml:space="preserve">. Demographic shifts in age and household </w:t>
      </w:r>
      <w:r w:rsidRPr="00CF3E87">
        <w:t xml:space="preserve">composition will then be considered. Finally, the future demand for housing by size and type </w:t>
      </w:r>
      <w:r w:rsidR="0063091D" w:rsidRPr="00CF3E87">
        <w:t>is</w:t>
      </w:r>
      <w:r w:rsidRPr="00CF3E87">
        <w:t xml:space="preserve"> determined by the way different household types currently occupy their dwellings in the </w:t>
      </w:r>
      <w:r w:rsidR="00974888" w:rsidRPr="00CF3E87">
        <w:t>wider Local Authority area</w:t>
      </w:r>
      <w:r w:rsidR="008411EA" w:rsidRPr="00CF3E87">
        <w:t xml:space="preserve">, and then applying demographic projections of how </w:t>
      </w:r>
      <w:r w:rsidR="005F50BC" w:rsidRPr="00CF3E87">
        <w:t xml:space="preserve">the </w:t>
      </w:r>
      <w:r w:rsidR="00703761" w:rsidRPr="00CF3E87">
        <w:t xml:space="preserve">Neighbourhood </w:t>
      </w:r>
      <w:r w:rsidR="005F50BC" w:rsidRPr="00CF3E87">
        <w:t>Plan area</w:t>
      </w:r>
      <w:r w:rsidR="008411EA" w:rsidRPr="00CF3E87">
        <w:t xml:space="preserve"> population is likely to change by the end of the Plan period.</w:t>
      </w:r>
    </w:p>
    <w:p w14:paraId="005D12E4" w14:textId="49133FDA" w:rsidR="008411EA" w:rsidRDefault="008411EA" w:rsidP="008411EA">
      <w:pPr>
        <w:pStyle w:val="Heading2"/>
        <w:jc w:val="both"/>
      </w:pPr>
      <w:bookmarkStart w:id="128" w:name="_Toc64026808"/>
      <w:r w:rsidRPr="003A5666">
        <w:t>Existing types and sizes</w:t>
      </w:r>
      <w:bookmarkEnd w:id="128"/>
    </w:p>
    <w:p w14:paraId="32CA3361" w14:textId="02F65D6A" w:rsidR="00AE758B" w:rsidRPr="00AE758B" w:rsidRDefault="00AE758B" w:rsidP="00AE758B">
      <w:pPr>
        <w:pStyle w:val="Heading3"/>
      </w:pPr>
      <w:bookmarkStart w:id="129" w:name="_Toc64026809"/>
      <w:r>
        <w:t>Background and definitions</w:t>
      </w:r>
      <w:bookmarkEnd w:id="129"/>
    </w:p>
    <w:p w14:paraId="4DC58C2F" w14:textId="77777777" w:rsidR="008411EA" w:rsidRPr="008411EA" w:rsidRDefault="008411EA" w:rsidP="00A82210">
      <w:pPr>
        <w:pStyle w:val="ListNumber"/>
      </w:pPr>
      <w:r w:rsidRPr="008411EA">
        <w:t>Before beginning our consideration of dwelling type and size, it is important to understand how different types of households occupy their homes. Crucially, and unsurprisingly, household ‘consumption’ of housing (in terms of housing size) tends to increase alongside wages, with the highest earning households consuming relatively more (i.e. larger) housing than those on lower incomes. Similarly, housing consumption tends to increase, alongside wealth, income, and age, such that older households tend to have larger homes than younger households, often as a result of cost and affordability.</w:t>
      </w:r>
    </w:p>
    <w:p w14:paraId="2E9FC5C9" w14:textId="340D1F85" w:rsidR="008411EA" w:rsidRPr="008411EA" w:rsidRDefault="008411EA" w:rsidP="00A82210">
      <w:pPr>
        <w:pStyle w:val="ListNumber"/>
      </w:pPr>
      <w:r w:rsidRPr="008411EA">
        <w:t>In this context, even smaller households (those with fewer than three inhabitants) may be able to choose to live in larger homes than they require and would be defined in Census terms as under-occupying their homes.</w:t>
      </w:r>
      <w:r w:rsidR="002B31F8">
        <w:t xml:space="preserve"> Conversely, larger and growing households may become “stuck” in unsuitably small accommodation due to not being able to access or afford suitably sized follow on accommodation, thus over-occupying their home.</w:t>
      </w:r>
      <w:r w:rsidRPr="008411EA">
        <w:t xml:space="preserve"> </w:t>
      </w:r>
      <w:r w:rsidR="002B31F8">
        <w:t>Both of these situations are</w:t>
      </w:r>
      <w:r w:rsidRPr="008411EA">
        <w:t xml:space="preserve"> natural feature</w:t>
      </w:r>
      <w:r w:rsidR="002B31F8">
        <w:t>s</w:t>
      </w:r>
      <w:r w:rsidRPr="008411EA">
        <w:t xml:space="preserve"> of the housing market, and can distort considerations of future housing needs, with market dynamics and signals giving a very different picture </w:t>
      </w:r>
      <w:r w:rsidR="0063091D">
        <w:t>to</w:t>
      </w:r>
      <w:r w:rsidR="0063091D" w:rsidRPr="008411EA">
        <w:t xml:space="preserve"> </w:t>
      </w:r>
      <w:r w:rsidRPr="008411EA">
        <w:t>demographics, household type and size.</w:t>
      </w:r>
    </w:p>
    <w:p w14:paraId="42737A46" w14:textId="16FCBA1B" w:rsidR="008411EA" w:rsidRPr="008411EA" w:rsidRDefault="008411EA" w:rsidP="00A82210">
      <w:pPr>
        <w:pStyle w:val="ListNumber"/>
      </w:pPr>
      <w:r w:rsidRPr="008411EA">
        <w:t xml:space="preserve">In order to understand the terminology surrounding dwelling size analysis, it is important to note that the number of rooms recorded in Census data excludes some rooms such as bathrooms, toilets and halls. Dwelling size data is collected by determining the number of rooms being occupied by each household. In the section that follows, ‘dwelling sizes’ </w:t>
      </w:r>
      <w:r w:rsidR="00915935">
        <w:t>can</w:t>
      </w:r>
      <w:r w:rsidRPr="008411EA">
        <w:t xml:space="preserve"> be translated as follows</w:t>
      </w:r>
      <w:r w:rsidRPr="008411EA">
        <w:rPr>
          <w:rStyle w:val="FootnoteReference"/>
          <w:rFonts w:ascii="Arial" w:hAnsi="Arial"/>
          <w:color w:val="000000" w:themeColor="text1"/>
          <w:lang w:val="en-GB"/>
        </w:rPr>
        <w:footnoteReference w:id="36"/>
      </w:r>
      <w:r w:rsidRPr="008411EA">
        <w:t>:</w:t>
      </w:r>
    </w:p>
    <w:p w14:paraId="6326A97E" w14:textId="77777777" w:rsidR="008411EA" w:rsidRPr="008411EA" w:rsidRDefault="008411EA" w:rsidP="00F06B2A">
      <w:pPr>
        <w:pStyle w:val="ListBullet"/>
      </w:pPr>
      <w:r w:rsidRPr="008411EA">
        <w:t>1 room = bedsit</w:t>
      </w:r>
    </w:p>
    <w:p w14:paraId="5D412D59" w14:textId="77777777" w:rsidR="008411EA" w:rsidRPr="008411EA" w:rsidRDefault="008411EA" w:rsidP="00F06B2A">
      <w:pPr>
        <w:pStyle w:val="ListBullet"/>
      </w:pPr>
      <w:r w:rsidRPr="008411EA">
        <w:t>2 rooms = flat/house with one bedroom and a reception room/kitchen</w:t>
      </w:r>
    </w:p>
    <w:p w14:paraId="2875A2B9" w14:textId="77777777" w:rsidR="008411EA" w:rsidRPr="008411EA" w:rsidRDefault="008411EA" w:rsidP="00F06B2A">
      <w:pPr>
        <w:pStyle w:val="ListBullet"/>
      </w:pPr>
      <w:r w:rsidRPr="008411EA">
        <w:t>3 rooms = flat/house 1-2 bedrooms and one reception room and/or kitchen</w:t>
      </w:r>
    </w:p>
    <w:p w14:paraId="43F0628E" w14:textId="0574E712" w:rsidR="008411EA" w:rsidRPr="008411EA" w:rsidRDefault="008411EA" w:rsidP="00F06B2A">
      <w:pPr>
        <w:pStyle w:val="ListBullet"/>
      </w:pPr>
      <w:r w:rsidRPr="008411EA">
        <w:t>4 rooms = flat/house with 2 bedroom</w:t>
      </w:r>
      <w:r w:rsidR="002B31F8">
        <w:t>s</w:t>
      </w:r>
      <w:r w:rsidRPr="008411EA">
        <w:t>, one reception room and one kitchen</w:t>
      </w:r>
    </w:p>
    <w:p w14:paraId="7801C922" w14:textId="77777777" w:rsidR="008411EA" w:rsidRPr="008411EA" w:rsidRDefault="008411EA" w:rsidP="00F06B2A">
      <w:pPr>
        <w:pStyle w:val="ListBullet"/>
      </w:pPr>
      <w:r w:rsidRPr="008411EA">
        <w:t>5 rooms = flat/house with 3 bedrooms, one reception room and one kitchen</w:t>
      </w:r>
    </w:p>
    <w:p w14:paraId="778E1E9A" w14:textId="72F97E6E" w:rsidR="008411EA" w:rsidRPr="008411EA" w:rsidRDefault="008411EA" w:rsidP="00F06B2A">
      <w:pPr>
        <w:pStyle w:val="ListBullet"/>
      </w:pPr>
      <w:r w:rsidRPr="008411EA">
        <w:t xml:space="preserve">6 rooms = house with </w:t>
      </w:r>
      <w:r w:rsidR="006F668D">
        <w:t>3</w:t>
      </w:r>
      <w:r w:rsidRPr="008411EA">
        <w:t xml:space="preserve"> bedrooms and 2 reception rooms and a kitchen, or </w:t>
      </w:r>
      <w:r w:rsidR="006F668D">
        <w:t>4</w:t>
      </w:r>
      <w:r w:rsidRPr="008411EA">
        <w:t xml:space="preserve"> bedrooms and one reception room and a kitchen</w:t>
      </w:r>
    </w:p>
    <w:p w14:paraId="2238E086" w14:textId="155C698A" w:rsidR="008411EA" w:rsidRDefault="008411EA" w:rsidP="00F06B2A">
      <w:pPr>
        <w:pStyle w:val="ListBullet"/>
      </w:pPr>
      <w:r w:rsidRPr="008411EA">
        <w:t>7+ rooms = house with 4 or more bedrooms</w:t>
      </w:r>
    </w:p>
    <w:p w14:paraId="23EC3EAD" w14:textId="0D798C48" w:rsidR="008411EA" w:rsidRPr="00F14646" w:rsidRDefault="008411EA" w:rsidP="00A82210">
      <w:pPr>
        <w:pStyle w:val="ListNumber"/>
      </w:pPr>
      <w:r w:rsidRPr="00F14646">
        <w:t>It is also useful to clarify the Census terminology around dwellings and households spaces. These can be confusing where different terminologies such as flats, apartments, shared and communal dwellings, and houses in multiple occupation, are used. Dwellings are counted in the Census by combining address information with Census returns on whether people’s accommodation is self-contained.</w:t>
      </w:r>
      <w:r w:rsidRPr="00F14646">
        <w:rPr>
          <w:vertAlign w:val="superscript"/>
        </w:rPr>
        <w:footnoteReference w:id="37"/>
      </w:r>
      <w:r w:rsidR="00F14646">
        <w:t xml:space="preserve"> </w:t>
      </w:r>
      <w:r w:rsidRPr="00F14646">
        <w:t xml:space="preserve">As such, all dwellings are classified into either “shared” or “unshared” dwellings.  Household spaces make up the individual accommodation units forming part of a shared dwelling. </w:t>
      </w:r>
    </w:p>
    <w:p w14:paraId="2A9268A7" w14:textId="4BC2DB67" w:rsidR="008411EA" w:rsidRPr="00F14646" w:rsidRDefault="008411EA" w:rsidP="00A82210">
      <w:pPr>
        <w:pStyle w:val="ListNumber"/>
      </w:pPr>
      <w:r w:rsidRPr="00F14646">
        <w:t>The key measure of whether a dwelling is shared or unshared relates to the Census’ definition of a household. A household is defined</w:t>
      </w:r>
      <w:r w:rsidRPr="00616B01">
        <w:t xml:space="preserve"> as “One person living alone or a group of people (not necessarily related) living at the same address who share cooking facilities and share a living room or sitting room or dining area.”</w:t>
      </w:r>
      <w:r w:rsidRPr="00616B01">
        <w:rPr>
          <w:vertAlign w:val="superscript"/>
        </w:rPr>
        <w:footnoteReference w:id="38"/>
      </w:r>
      <w:r w:rsidRPr="00616B01">
        <w:t xml:space="preserve"> On this basis, where unrelated residents </w:t>
      </w:r>
      <w:r w:rsidRPr="00F14646">
        <w:t>of a dwelling share rooms other than a kitchen, this would be considered a single household in an unshared dwelling, whilst where only a kitchen is shared, each resident would be considered their own household, and the dwelling would be considered shared.</w:t>
      </w:r>
    </w:p>
    <w:p w14:paraId="699A7A5D" w14:textId="5638C7DB" w:rsidR="00F14646" w:rsidRPr="00F14646" w:rsidRDefault="00784F10" w:rsidP="00F14646">
      <w:pPr>
        <w:pStyle w:val="Heading3"/>
      </w:pPr>
      <w:bookmarkStart w:id="130" w:name="_Toc64026810"/>
      <w:r>
        <w:t>Dwelling t</w:t>
      </w:r>
      <w:r w:rsidR="00F14646">
        <w:t>ype</w:t>
      </w:r>
      <w:bookmarkEnd w:id="130"/>
    </w:p>
    <w:p w14:paraId="390E55EB" w14:textId="18F4D038" w:rsidR="002C2D5C" w:rsidRPr="008411EA" w:rsidRDefault="002C2D5C" w:rsidP="00A82210">
      <w:pPr>
        <w:pStyle w:val="ListNumber"/>
      </w:pPr>
      <w:r w:rsidRPr="008411EA">
        <w:t>The 2011 Census shows that there were</w:t>
      </w:r>
      <w:r w:rsidR="002B31F8">
        <w:t xml:space="preserve"> </w:t>
      </w:r>
      <w:bookmarkStart w:id="131" w:name="_Hlk63152830"/>
      <w:r w:rsidR="002B31F8">
        <w:t xml:space="preserve">23,360 </w:t>
      </w:r>
      <w:r w:rsidRPr="008411EA">
        <w:t xml:space="preserve">households in </w:t>
      </w:r>
      <w:r w:rsidR="0015105E">
        <w:t>Weymouth</w:t>
      </w:r>
      <w:r w:rsidRPr="008411EA">
        <w:t xml:space="preserve">, </w:t>
      </w:r>
      <w:r w:rsidR="00C3597D">
        <w:t xml:space="preserve">living in </w:t>
      </w:r>
      <w:r w:rsidR="003D14C1">
        <w:t>5,505</w:t>
      </w:r>
      <w:r w:rsidRPr="008411EA">
        <w:t xml:space="preserve"> semi-detached, </w:t>
      </w:r>
      <w:r w:rsidR="003D14C1">
        <w:t>6,689</w:t>
      </w:r>
      <w:r w:rsidRPr="008411EA">
        <w:t xml:space="preserve"> terraced houses, and </w:t>
      </w:r>
      <w:r w:rsidR="003D14C1">
        <w:t>6,594</w:t>
      </w:r>
      <w:r w:rsidRPr="008411EA">
        <w:t xml:space="preserve"> flats</w:t>
      </w:r>
      <w:r w:rsidR="00C3597D">
        <w:rPr>
          <w:rStyle w:val="FootnoteReference"/>
        </w:rPr>
        <w:footnoteReference w:id="39"/>
      </w:r>
      <w:r w:rsidRPr="008411EA">
        <w:t>.</w:t>
      </w:r>
      <w:bookmarkEnd w:id="131"/>
      <w:r w:rsidRPr="008411EA">
        <w:t xml:space="preserve"> Compared with </w:t>
      </w:r>
      <w:r w:rsidR="003D14C1">
        <w:t>Dorset as a whole</w:t>
      </w:r>
      <w:r w:rsidRPr="008411EA">
        <w:t xml:space="preserve">, </w:t>
      </w:r>
      <w:r w:rsidR="0015105E">
        <w:t>Weymouth</w:t>
      </w:r>
      <w:r w:rsidRPr="008411EA">
        <w:t xml:space="preserve"> is characterised by </w:t>
      </w:r>
      <w:r w:rsidR="00AD023B">
        <w:t xml:space="preserve">a significantly smaller share of detached houses </w:t>
      </w:r>
      <w:bookmarkStart w:id="132" w:name="_Hlk63152950"/>
      <w:r w:rsidR="00AD023B">
        <w:t>(25% versus 41%)</w:t>
      </w:r>
      <w:bookmarkEnd w:id="132"/>
      <w:r w:rsidR="00AD023B">
        <w:t xml:space="preserve"> a</w:t>
      </w:r>
      <w:bookmarkStart w:id="133" w:name="_Hlk63152970"/>
      <w:r w:rsidR="00AD023B">
        <w:t>nd correspondingly more terraced homes (26</w:t>
      </w:r>
      <w:r w:rsidR="00B05ECB">
        <w:t>%</w:t>
      </w:r>
      <w:r w:rsidR="00AD023B">
        <w:t xml:space="preserve"> rather than 20%) and flats (</w:t>
      </w:r>
      <w:r w:rsidR="00C3597D">
        <w:t>26</w:t>
      </w:r>
      <w:r w:rsidR="00B05ECB">
        <w:t>%</w:t>
      </w:r>
      <w:r w:rsidR="00C3597D">
        <w:t xml:space="preserve"> versus 16%)</w:t>
      </w:r>
      <w:r w:rsidRPr="008411EA">
        <w:t xml:space="preserve"> </w:t>
      </w:r>
      <w:bookmarkEnd w:id="133"/>
      <w:r w:rsidRPr="008411EA">
        <w:t xml:space="preserve">(see </w:t>
      </w:r>
      <w:r w:rsidRPr="008411EA">
        <w:fldChar w:fldCharType="begin"/>
      </w:r>
      <w:r w:rsidRPr="008411EA">
        <w:instrText xml:space="preserve"> REF _Ref2598088 \h  \* MERGEFORMAT </w:instrText>
      </w:r>
      <w:r w:rsidRPr="008411EA">
        <w:fldChar w:fldCharType="separate"/>
      </w:r>
      <w:r w:rsidR="00E14AFB" w:rsidRPr="002D4F56">
        <w:t xml:space="preserve">Table </w:t>
      </w:r>
      <w:r w:rsidR="003D14C1">
        <w:rPr>
          <w:noProof/>
        </w:rPr>
        <w:t>5</w:t>
      </w:r>
      <w:r w:rsidR="00E14AFB" w:rsidRPr="002D4F56">
        <w:rPr>
          <w:noProof/>
        </w:rPr>
        <w:noBreakHyphen/>
      </w:r>
      <w:r w:rsidR="00E14AFB">
        <w:rPr>
          <w:noProof/>
        </w:rPr>
        <w:t>1</w:t>
      </w:r>
      <w:r w:rsidRPr="008411EA">
        <w:fldChar w:fldCharType="end"/>
      </w:r>
      <w:r w:rsidRPr="008411EA">
        <w:t xml:space="preserve"> below).</w:t>
      </w:r>
      <w:r w:rsidR="00AD023B">
        <w:t xml:space="preserve"> In this, the Weymouth spread between different accommodation types is more similar to the national than the Dorset picture. In terms of semi-detached homes, the Weymouth </w:t>
      </w:r>
      <w:r w:rsidR="00B05ECB">
        <w:t>percentage share</w:t>
      </w:r>
      <w:r w:rsidR="00AD023B">
        <w:t xml:space="preserve"> is similar to that in Dorset overall.</w:t>
      </w:r>
    </w:p>
    <w:p w14:paraId="7602E099" w14:textId="4B0598FF" w:rsidR="002C2D5C" w:rsidRPr="002D4F56" w:rsidRDefault="002C2D5C" w:rsidP="002C2D5C">
      <w:pPr>
        <w:pStyle w:val="Caption"/>
        <w:jc w:val="both"/>
        <w:rPr>
          <w:sz w:val="18"/>
          <w:szCs w:val="18"/>
        </w:rPr>
      </w:pPr>
      <w:bookmarkStart w:id="134" w:name="_Ref2598088"/>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1</w:t>
      </w:r>
      <w:r w:rsidR="00BA4C32">
        <w:rPr>
          <w:sz w:val="18"/>
          <w:szCs w:val="18"/>
        </w:rPr>
        <w:fldChar w:fldCharType="end"/>
      </w:r>
      <w:bookmarkEnd w:id="134"/>
      <w:r w:rsidRPr="002D4F56">
        <w:rPr>
          <w:sz w:val="18"/>
          <w:szCs w:val="18"/>
        </w:rPr>
        <w:t xml:space="preserve">: Accommodation type (households), </w:t>
      </w:r>
      <w:r w:rsidR="0015105E">
        <w:rPr>
          <w:sz w:val="18"/>
          <w:szCs w:val="18"/>
        </w:rPr>
        <w:t>Weymouth</w:t>
      </w:r>
      <w:r w:rsidR="002D4F56" w:rsidRPr="002D4F56">
        <w:rPr>
          <w:sz w:val="18"/>
          <w:szCs w:val="18"/>
        </w:rPr>
        <w:t xml:space="preserve"> </w:t>
      </w:r>
      <w:r w:rsidRPr="002D4F56">
        <w:rPr>
          <w:sz w:val="18"/>
          <w:szCs w:val="18"/>
        </w:rPr>
        <w:t>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2997"/>
        <w:gridCol w:w="1316"/>
        <w:gridCol w:w="1316"/>
        <w:gridCol w:w="1316"/>
      </w:tblGrid>
      <w:tr w:rsidR="002C2D5C" w:rsidRPr="005C7909" w14:paraId="7F8B0296" w14:textId="77777777" w:rsidTr="00C378B2">
        <w:trPr>
          <w:trHeight w:val="288"/>
        </w:trPr>
        <w:tc>
          <w:tcPr>
            <w:tcW w:w="1311" w:type="pct"/>
            <w:tcBorders>
              <w:bottom w:val="single" w:sz="4" w:space="0" w:color="auto"/>
            </w:tcBorders>
            <w:shd w:val="clear" w:color="auto" w:fill="000000" w:themeFill="text2"/>
            <w:noWrap/>
            <w:vAlign w:val="center"/>
            <w:hideMark/>
          </w:tcPr>
          <w:p w14:paraId="676F51AE" w14:textId="77777777" w:rsidR="002C2D5C" w:rsidRPr="00374C95" w:rsidRDefault="002C2D5C" w:rsidP="00C378B2">
            <w:pPr>
              <w:spacing w:line="240" w:lineRule="auto"/>
              <w:jc w:val="both"/>
              <w:rPr>
                <w:rFonts w:asciiTheme="majorHAnsi" w:hAnsiTheme="majorHAnsi" w:cstheme="majorHAnsi"/>
                <w:b/>
                <w:bCs/>
                <w:color w:val="FFFFFF" w:themeColor="background1"/>
                <w:sz w:val="18"/>
                <w:szCs w:val="18"/>
                <w:lang w:eastAsia="zh-CN"/>
              </w:rPr>
            </w:pPr>
            <w:r w:rsidRPr="00374C95">
              <w:rPr>
                <w:rFonts w:asciiTheme="majorHAnsi" w:hAnsiTheme="majorHAnsi" w:cstheme="majorHAnsi"/>
                <w:b/>
                <w:bCs/>
                <w:color w:val="FFFFFF" w:themeColor="background1"/>
                <w:sz w:val="18"/>
                <w:szCs w:val="18"/>
                <w:lang w:eastAsia="zh-CN"/>
              </w:rPr>
              <w:t>Dwelling type</w:t>
            </w:r>
          </w:p>
        </w:tc>
        <w:tc>
          <w:tcPr>
            <w:tcW w:w="1592" w:type="pct"/>
            <w:shd w:val="clear" w:color="auto" w:fill="000000" w:themeFill="text2"/>
            <w:noWrap/>
            <w:vAlign w:val="center"/>
            <w:hideMark/>
          </w:tcPr>
          <w:p w14:paraId="349D630B" w14:textId="77777777" w:rsidR="002C2D5C" w:rsidRPr="00374C95" w:rsidRDefault="002C2D5C" w:rsidP="00C378B2">
            <w:pPr>
              <w:spacing w:line="240" w:lineRule="auto"/>
              <w:jc w:val="both"/>
              <w:rPr>
                <w:rFonts w:asciiTheme="majorHAnsi" w:hAnsiTheme="majorHAnsi" w:cstheme="majorHAnsi"/>
                <w:b/>
                <w:bCs/>
                <w:color w:val="FFFFFF" w:themeColor="background1"/>
                <w:sz w:val="18"/>
                <w:szCs w:val="18"/>
                <w:lang w:eastAsia="zh-CN"/>
              </w:rPr>
            </w:pPr>
          </w:p>
        </w:tc>
        <w:tc>
          <w:tcPr>
            <w:tcW w:w="699" w:type="pct"/>
            <w:shd w:val="clear" w:color="auto" w:fill="000000" w:themeFill="text2"/>
            <w:noWrap/>
            <w:vAlign w:val="center"/>
          </w:tcPr>
          <w:p w14:paraId="14ED66E1" w14:textId="0110FBD1" w:rsidR="002C2D5C" w:rsidRPr="00374C95" w:rsidRDefault="003D14C1" w:rsidP="00C378B2">
            <w:pPr>
              <w:spacing w:line="240" w:lineRule="auto"/>
              <w:jc w:val="both"/>
              <w:rPr>
                <w:rFonts w:asciiTheme="majorHAnsi" w:hAnsiTheme="majorHAnsi" w:cstheme="majorHAnsi"/>
                <w:b/>
                <w:bCs/>
                <w:color w:val="FFFFFF" w:themeColor="background1"/>
                <w:sz w:val="18"/>
                <w:szCs w:val="18"/>
                <w:lang w:eastAsia="zh-CN"/>
              </w:rPr>
            </w:pPr>
            <w:r>
              <w:rPr>
                <w:rFonts w:asciiTheme="majorHAnsi" w:hAnsiTheme="majorHAnsi" w:cstheme="majorHAnsi"/>
                <w:b/>
                <w:bCs/>
                <w:color w:val="FFFFFF" w:themeColor="background1"/>
                <w:sz w:val="18"/>
                <w:szCs w:val="18"/>
                <w:lang w:eastAsia="zh-CN"/>
              </w:rPr>
              <w:t>Weymouth</w:t>
            </w:r>
          </w:p>
        </w:tc>
        <w:tc>
          <w:tcPr>
            <w:tcW w:w="699" w:type="pct"/>
            <w:shd w:val="clear" w:color="auto" w:fill="000000" w:themeFill="text2"/>
            <w:noWrap/>
            <w:vAlign w:val="center"/>
          </w:tcPr>
          <w:p w14:paraId="72907CF5" w14:textId="47369C07" w:rsidR="002C2D5C" w:rsidRPr="00374C95" w:rsidRDefault="003D14C1" w:rsidP="00C378B2">
            <w:pPr>
              <w:spacing w:line="240" w:lineRule="auto"/>
              <w:jc w:val="both"/>
              <w:rPr>
                <w:rFonts w:asciiTheme="majorHAnsi" w:hAnsiTheme="majorHAnsi" w:cstheme="majorHAnsi"/>
                <w:b/>
                <w:bCs/>
                <w:color w:val="FFFFFF" w:themeColor="background1"/>
                <w:sz w:val="18"/>
                <w:szCs w:val="18"/>
                <w:lang w:eastAsia="zh-CN"/>
              </w:rPr>
            </w:pPr>
            <w:r>
              <w:rPr>
                <w:rFonts w:asciiTheme="majorHAnsi" w:hAnsiTheme="majorHAnsi" w:cstheme="majorHAnsi"/>
                <w:b/>
                <w:bCs/>
                <w:color w:val="FFFFFF" w:themeColor="background1"/>
                <w:sz w:val="18"/>
                <w:szCs w:val="18"/>
                <w:lang w:eastAsia="zh-CN"/>
              </w:rPr>
              <w:t>Dorset</w:t>
            </w:r>
            <w:r w:rsidR="0099461D">
              <w:rPr>
                <w:rStyle w:val="FootnoteReference"/>
                <w:rFonts w:cstheme="majorHAnsi"/>
                <w:b/>
                <w:bCs/>
                <w:sz w:val="18"/>
                <w:szCs w:val="18"/>
                <w:lang w:eastAsia="zh-CN"/>
              </w:rPr>
              <w:footnoteReference w:id="40"/>
            </w:r>
          </w:p>
        </w:tc>
        <w:tc>
          <w:tcPr>
            <w:tcW w:w="699" w:type="pct"/>
            <w:shd w:val="clear" w:color="auto" w:fill="000000" w:themeFill="text2"/>
            <w:noWrap/>
            <w:vAlign w:val="center"/>
            <w:hideMark/>
          </w:tcPr>
          <w:p w14:paraId="2C16BE30" w14:textId="6298D9F7" w:rsidR="002C2D5C" w:rsidRPr="00374C95" w:rsidRDefault="003D14C1" w:rsidP="00C378B2">
            <w:pPr>
              <w:spacing w:line="240" w:lineRule="auto"/>
              <w:jc w:val="both"/>
              <w:rPr>
                <w:rFonts w:asciiTheme="majorHAnsi" w:hAnsiTheme="majorHAnsi" w:cstheme="majorHAnsi"/>
                <w:b/>
                <w:bCs/>
                <w:color w:val="FFFFFF" w:themeColor="background1"/>
                <w:sz w:val="18"/>
                <w:szCs w:val="18"/>
                <w:lang w:eastAsia="zh-CN"/>
              </w:rPr>
            </w:pPr>
            <w:r>
              <w:rPr>
                <w:b/>
                <w:bCs/>
                <w:color w:val="FFFFFF" w:themeColor="background1"/>
                <w:sz w:val="18"/>
                <w:szCs w:val="18"/>
              </w:rPr>
              <w:t>England</w:t>
            </w:r>
          </w:p>
        </w:tc>
      </w:tr>
      <w:tr w:rsidR="003D14C1" w:rsidRPr="005C7909" w14:paraId="5A3FCC93" w14:textId="77777777" w:rsidTr="00C3597D">
        <w:trPr>
          <w:trHeight w:val="288"/>
        </w:trPr>
        <w:tc>
          <w:tcPr>
            <w:tcW w:w="1311" w:type="pct"/>
            <w:tcBorders>
              <w:top w:val="single" w:sz="4" w:space="0" w:color="auto"/>
              <w:left w:val="single" w:sz="4" w:space="0" w:color="auto"/>
              <w:bottom w:val="nil"/>
              <w:right w:val="single" w:sz="4" w:space="0" w:color="auto"/>
            </w:tcBorders>
            <w:shd w:val="clear" w:color="auto" w:fill="auto"/>
            <w:noWrap/>
            <w:vAlign w:val="center"/>
            <w:hideMark/>
          </w:tcPr>
          <w:p w14:paraId="12EF3BD1" w14:textId="77777777" w:rsidR="003D14C1" w:rsidRPr="00374C95" w:rsidRDefault="003D14C1" w:rsidP="003D14C1">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Whole house or bungalow</w:t>
            </w:r>
          </w:p>
        </w:tc>
        <w:tc>
          <w:tcPr>
            <w:tcW w:w="1592" w:type="pct"/>
            <w:tcBorders>
              <w:left w:val="single" w:sz="4" w:space="0" w:color="auto"/>
            </w:tcBorders>
            <w:shd w:val="clear" w:color="auto" w:fill="auto"/>
            <w:noWrap/>
            <w:vAlign w:val="center"/>
            <w:hideMark/>
          </w:tcPr>
          <w:p w14:paraId="7ED67632" w14:textId="77777777" w:rsidR="003D14C1" w:rsidRPr="00374C95" w:rsidRDefault="003D14C1" w:rsidP="003D14C1">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Detached</w:t>
            </w:r>
          </w:p>
        </w:tc>
        <w:tc>
          <w:tcPr>
            <w:tcW w:w="699" w:type="pct"/>
            <w:shd w:val="clear" w:color="auto" w:fill="auto"/>
            <w:noWrap/>
            <w:vAlign w:val="center"/>
            <w:hideMark/>
          </w:tcPr>
          <w:p w14:paraId="048161FD" w14:textId="58535DF3"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25.1%</w:t>
            </w:r>
          </w:p>
        </w:tc>
        <w:tc>
          <w:tcPr>
            <w:tcW w:w="699" w:type="pct"/>
            <w:shd w:val="clear" w:color="auto" w:fill="auto"/>
            <w:noWrap/>
            <w:vAlign w:val="center"/>
            <w:hideMark/>
          </w:tcPr>
          <w:p w14:paraId="7298EA45" w14:textId="130C9682"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40.6%</w:t>
            </w:r>
          </w:p>
        </w:tc>
        <w:tc>
          <w:tcPr>
            <w:tcW w:w="699" w:type="pct"/>
            <w:shd w:val="clear" w:color="auto" w:fill="auto"/>
            <w:noWrap/>
            <w:vAlign w:val="center"/>
            <w:hideMark/>
          </w:tcPr>
          <w:p w14:paraId="6F603E38" w14:textId="64BF98E8"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22.4%</w:t>
            </w:r>
          </w:p>
        </w:tc>
      </w:tr>
      <w:tr w:rsidR="003D14C1" w:rsidRPr="005C7909" w14:paraId="4D58B50A" w14:textId="77777777" w:rsidTr="00C3597D">
        <w:trPr>
          <w:trHeight w:val="288"/>
        </w:trPr>
        <w:tc>
          <w:tcPr>
            <w:tcW w:w="1311" w:type="pct"/>
            <w:tcBorders>
              <w:top w:val="nil"/>
              <w:left w:val="single" w:sz="4" w:space="0" w:color="auto"/>
              <w:bottom w:val="nil"/>
              <w:right w:val="single" w:sz="4" w:space="0" w:color="auto"/>
            </w:tcBorders>
            <w:shd w:val="clear" w:color="auto" w:fill="auto"/>
            <w:noWrap/>
            <w:vAlign w:val="center"/>
            <w:hideMark/>
          </w:tcPr>
          <w:p w14:paraId="5C980256" w14:textId="77777777" w:rsidR="003D14C1" w:rsidRPr="00374C95" w:rsidRDefault="003D14C1" w:rsidP="003D14C1">
            <w:pPr>
              <w:spacing w:line="240" w:lineRule="auto"/>
              <w:jc w:val="both"/>
              <w:rPr>
                <w:rFonts w:asciiTheme="majorHAnsi" w:hAnsiTheme="majorHAnsi" w:cstheme="majorHAnsi"/>
                <w:sz w:val="18"/>
                <w:szCs w:val="18"/>
                <w:lang w:eastAsia="zh-CN"/>
              </w:rPr>
            </w:pPr>
          </w:p>
        </w:tc>
        <w:tc>
          <w:tcPr>
            <w:tcW w:w="1592" w:type="pct"/>
            <w:tcBorders>
              <w:left w:val="single" w:sz="4" w:space="0" w:color="auto"/>
            </w:tcBorders>
            <w:shd w:val="clear" w:color="auto" w:fill="auto"/>
            <w:noWrap/>
            <w:vAlign w:val="center"/>
            <w:hideMark/>
          </w:tcPr>
          <w:p w14:paraId="4E9E7C67" w14:textId="77777777" w:rsidR="003D14C1" w:rsidRPr="00374C95" w:rsidRDefault="003D14C1" w:rsidP="003D14C1">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Semi-detached</w:t>
            </w:r>
          </w:p>
        </w:tc>
        <w:tc>
          <w:tcPr>
            <w:tcW w:w="699" w:type="pct"/>
            <w:shd w:val="clear" w:color="auto" w:fill="auto"/>
            <w:noWrap/>
            <w:vAlign w:val="center"/>
            <w:hideMark/>
          </w:tcPr>
          <w:p w14:paraId="3117491F" w14:textId="0723FF23"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21.7%</w:t>
            </w:r>
          </w:p>
        </w:tc>
        <w:tc>
          <w:tcPr>
            <w:tcW w:w="699" w:type="pct"/>
            <w:shd w:val="clear" w:color="auto" w:fill="auto"/>
            <w:noWrap/>
            <w:vAlign w:val="center"/>
            <w:hideMark/>
          </w:tcPr>
          <w:p w14:paraId="655CEB99" w14:textId="0BC5F68F"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22.1%</w:t>
            </w:r>
          </w:p>
        </w:tc>
        <w:tc>
          <w:tcPr>
            <w:tcW w:w="699" w:type="pct"/>
            <w:shd w:val="clear" w:color="auto" w:fill="auto"/>
            <w:noWrap/>
            <w:vAlign w:val="center"/>
            <w:hideMark/>
          </w:tcPr>
          <w:p w14:paraId="38C73568" w14:textId="7904ACC8"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31.2%</w:t>
            </w:r>
          </w:p>
        </w:tc>
      </w:tr>
      <w:tr w:rsidR="003D14C1" w:rsidRPr="005C7909" w14:paraId="1D6680A1" w14:textId="77777777" w:rsidTr="00C3597D">
        <w:trPr>
          <w:trHeight w:val="288"/>
        </w:trPr>
        <w:tc>
          <w:tcPr>
            <w:tcW w:w="1311" w:type="pct"/>
            <w:tcBorders>
              <w:top w:val="nil"/>
              <w:left w:val="single" w:sz="4" w:space="0" w:color="auto"/>
              <w:bottom w:val="single" w:sz="4" w:space="0" w:color="auto"/>
              <w:right w:val="single" w:sz="4" w:space="0" w:color="auto"/>
            </w:tcBorders>
            <w:shd w:val="clear" w:color="auto" w:fill="auto"/>
            <w:noWrap/>
            <w:vAlign w:val="center"/>
            <w:hideMark/>
          </w:tcPr>
          <w:p w14:paraId="5F262DCD" w14:textId="77777777" w:rsidR="003D14C1" w:rsidRPr="00374C95" w:rsidRDefault="003D14C1" w:rsidP="003D14C1">
            <w:pPr>
              <w:spacing w:line="240" w:lineRule="auto"/>
              <w:jc w:val="both"/>
              <w:rPr>
                <w:rFonts w:asciiTheme="majorHAnsi" w:hAnsiTheme="majorHAnsi" w:cstheme="majorHAnsi"/>
                <w:sz w:val="18"/>
                <w:szCs w:val="18"/>
                <w:lang w:eastAsia="zh-CN"/>
              </w:rPr>
            </w:pPr>
          </w:p>
        </w:tc>
        <w:tc>
          <w:tcPr>
            <w:tcW w:w="1592" w:type="pct"/>
            <w:tcBorders>
              <w:left w:val="single" w:sz="4" w:space="0" w:color="auto"/>
            </w:tcBorders>
            <w:shd w:val="clear" w:color="auto" w:fill="auto"/>
            <w:noWrap/>
            <w:vAlign w:val="center"/>
            <w:hideMark/>
          </w:tcPr>
          <w:p w14:paraId="56B80443" w14:textId="77777777" w:rsidR="003D14C1" w:rsidRPr="00374C95" w:rsidRDefault="003D14C1" w:rsidP="003D14C1">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Terraced</w:t>
            </w:r>
          </w:p>
        </w:tc>
        <w:tc>
          <w:tcPr>
            <w:tcW w:w="699" w:type="pct"/>
            <w:shd w:val="clear" w:color="auto" w:fill="auto"/>
            <w:noWrap/>
            <w:vAlign w:val="center"/>
            <w:hideMark/>
          </w:tcPr>
          <w:p w14:paraId="6C8862AB" w14:textId="235B4F09"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26.3%</w:t>
            </w:r>
          </w:p>
        </w:tc>
        <w:tc>
          <w:tcPr>
            <w:tcW w:w="699" w:type="pct"/>
            <w:shd w:val="clear" w:color="auto" w:fill="auto"/>
            <w:noWrap/>
            <w:vAlign w:val="center"/>
            <w:hideMark/>
          </w:tcPr>
          <w:p w14:paraId="473E1C47" w14:textId="2725F97A"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19.7%</w:t>
            </w:r>
          </w:p>
        </w:tc>
        <w:tc>
          <w:tcPr>
            <w:tcW w:w="699" w:type="pct"/>
            <w:shd w:val="clear" w:color="auto" w:fill="auto"/>
            <w:noWrap/>
            <w:vAlign w:val="center"/>
            <w:hideMark/>
          </w:tcPr>
          <w:p w14:paraId="34CFA7D6" w14:textId="1D3429B0"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24.5%</w:t>
            </w:r>
          </w:p>
        </w:tc>
      </w:tr>
      <w:tr w:rsidR="003D14C1" w:rsidRPr="005C7909" w14:paraId="32A94A8D" w14:textId="77777777" w:rsidTr="00C3597D">
        <w:trPr>
          <w:trHeight w:val="288"/>
        </w:trPr>
        <w:tc>
          <w:tcPr>
            <w:tcW w:w="1311" w:type="pct"/>
            <w:tcBorders>
              <w:top w:val="single" w:sz="4" w:space="0" w:color="auto"/>
              <w:left w:val="single" w:sz="4" w:space="0" w:color="auto"/>
              <w:bottom w:val="nil"/>
              <w:right w:val="single" w:sz="4" w:space="0" w:color="auto"/>
            </w:tcBorders>
            <w:shd w:val="clear" w:color="auto" w:fill="auto"/>
            <w:noWrap/>
            <w:vAlign w:val="center"/>
            <w:hideMark/>
          </w:tcPr>
          <w:p w14:paraId="006169B3" w14:textId="77777777" w:rsidR="003D14C1" w:rsidRPr="00374C95" w:rsidRDefault="003D14C1" w:rsidP="00832DE0">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Flat, maisonette or apartment</w:t>
            </w:r>
          </w:p>
        </w:tc>
        <w:tc>
          <w:tcPr>
            <w:tcW w:w="1592" w:type="pct"/>
            <w:tcBorders>
              <w:left w:val="single" w:sz="4" w:space="0" w:color="auto"/>
            </w:tcBorders>
            <w:shd w:val="clear" w:color="auto" w:fill="auto"/>
            <w:noWrap/>
            <w:vAlign w:val="center"/>
            <w:hideMark/>
          </w:tcPr>
          <w:p w14:paraId="342096E6" w14:textId="77777777" w:rsidR="003D14C1" w:rsidRPr="00374C95" w:rsidRDefault="003D14C1" w:rsidP="00832DE0">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Purpose-built block of flats or tenement</w:t>
            </w:r>
          </w:p>
        </w:tc>
        <w:tc>
          <w:tcPr>
            <w:tcW w:w="699" w:type="pct"/>
            <w:shd w:val="clear" w:color="auto" w:fill="auto"/>
            <w:noWrap/>
            <w:vAlign w:val="center"/>
            <w:hideMark/>
          </w:tcPr>
          <w:p w14:paraId="6149C919" w14:textId="4ED7EF78"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17.5%</w:t>
            </w:r>
          </w:p>
        </w:tc>
        <w:tc>
          <w:tcPr>
            <w:tcW w:w="699" w:type="pct"/>
            <w:shd w:val="clear" w:color="auto" w:fill="auto"/>
            <w:noWrap/>
            <w:vAlign w:val="center"/>
            <w:hideMark/>
          </w:tcPr>
          <w:p w14:paraId="66B4C09C" w14:textId="2DBB72B0"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12.3%</w:t>
            </w:r>
          </w:p>
        </w:tc>
        <w:tc>
          <w:tcPr>
            <w:tcW w:w="699" w:type="pct"/>
            <w:shd w:val="clear" w:color="auto" w:fill="auto"/>
            <w:noWrap/>
            <w:vAlign w:val="center"/>
            <w:hideMark/>
          </w:tcPr>
          <w:p w14:paraId="3F4E1C87" w14:textId="1FECCC5F"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16.4%</w:t>
            </w:r>
          </w:p>
        </w:tc>
      </w:tr>
      <w:tr w:rsidR="003D14C1" w:rsidRPr="005C7909" w14:paraId="64373C21" w14:textId="77777777" w:rsidTr="00C3597D">
        <w:trPr>
          <w:trHeight w:val="288"/>
        </w:trPr>
        <w:tc>
          <w:tcPr>
            <w:tcW w:w="1311" w:type="pct"/>
            <w:tcBorders>
              <w:top w:val="nil"/>
              <w:left w:val="single" w:sz="4" w:space="0" w:color="auto"/>
              <w:bottom w:val="nil"/>
              <w:right w:val="single" w:sz="4" w:space="0" w:color="auto"/>
            </w:tcBorders>
            <w:shd w:val="clear" w:color="auto" w:fill="auto"/>
            <w:noWrap/>
            <w:vAlign w:val="center"/>
            <w:hideMark/>
          </w:tcPr>
          <w:p w14:paraId="239DBF18" w14:textId="77777777" w:rsidR="003D14C1" w:rsidRPr="00374C95" w:rsidRDefault="003D14C1" w:rsidP="003D14C1">
            <w:pPr>
              <w:spacing w:line="240" w:lineRule="auto"/>
              <w:jc w:val="both"/>
              <w:rPr>
                <w:rFonts w:asciiTheme="majorHAnsi" w:hAnsiTheme="majorHAnsi" w:cstheme="majorHAnsi"/>
                <w:sz w:val="18"/>
                <w:szCs w:val="18"/>
                <w:lang w:eastAsia="zh-CN"/>
              </w:rPr>
            </w:pPr>
          </w:p>
        </w:tc>
        <w:tc>
          <w:tcPr>
            <w:tcW w:w="1592" w:type="pct"/>
            <w:tcBorders>
              <w:left w:val="single" w:sz="4" w:space="0" w:color="auto"/>
            </w:tcBorders>
            <w:shd w:val="clear" w:color="auto" w:fill="auto"/>
            <w:noWrap/>
            <w:vAlign w:val="center"/>
            <w:hideMark/>
          </w:tcPr>
          <w:p w14:paraId="75B8B436" w14:textId="77777777" w:rsidR="003D14C1" w:rsidRPr="00374C95" w:rsidRDefault="003D14C1" w:rsidP="00832DE0">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Parts of a converted or shared house</w:t>
            </w:r>
          </w:p>
        </w:tc>
        <w:tc>
          <w:tcPr>
            <w:tcW w:w="699" w:type="pct"/>
            <w:shd w:val="clear" w:color="auto" w:fill="auto"/>
            <w:noWrap/>
            <w:vAlign w:val="center"/>
            <w:hideMark/>
          </w:tcPr>
          <w:p w14:paraId="49E67A2C" w14:textId="0B203909"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6.8%</w:t>
            </w:r>
          </w:p>
        </w:tc>
        <w:tc>
          <w:tcPr>
            <w:tcW w:w="699" w:type="pct"/>
            <w:shd w:val="clear" w:color="auto" w:fill="auto"/>
            <w:noWrap/>
            <w:vAlign w:val="center"/>
            <w:hideMark/>
          </w:tcPr>
          <w:p w14:paraId="29E9BBE2" w14:textId="10B2E1FA"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2.9%</w:t>
            </w:r>
          </w:p>
        </w:tc>
        <w:tc>
          <w:tcPr>
            <w:tcW w:w="699" w:type="pct"/>
            <w:shd w:val="clear" w:color="auto" w:fill="auto"/>
            <w:noWrap/>
            <w:vAlign w:val="center"/>
            <w:hideMark/>
          </w:tcPr>
          <w:p w14:paraId="06D99509" w14:textId="7D2AFD1A"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3.8%</w:t>
            </w:r>
          </w:p>
        </w:tc>
      </w:tr>
      <w:tr w:rsidR="003D14C1" w:rsidRPr="005C7909" w14:paraId="122CCD8F" w14:textId="77777777" w:rsidTr="00C3597D">
        <w:trPr>
          <w:trHeight w:val="288"/>
        </w:trPr>
        <w:tc>
          <w:tcPr>
            <w:tcW w:w="1311" w:type="pct"/>
            <w:tcBorders>
              <w:top w:val="nil"/>
              <w:left w:val="single" w:sz="4" w:space="0" w:color="auto"/>
              <w:bottom w:val="single" w:sz="4" w:space="0" w:color="auto"/>
              <w:right w:val="single" w:sz="4" w:space="0" w:color="auto"/>
            </w:tcBorders>
            <w:shd w:val="clear" w:color="auto" w:fill="auto"/>
            <w:noWrap/>
            <w:vAlign w:val="center"/>
            <w:hideMark/>
          </w:tcPr>
          <w:p w14:paraId="360AB13B" w14:textId="77777777" w:rsidR="003D14C1" w:rsidRPr="00374C95" w:rsidRDefault="003D14C1" w:rsidP="003D14C1">
            <w:pPr>
              <w:spacing w:line="240" w:lineRule="auto"/>
              <w:jc w:val="both"/>
              <w:rPr>
                <w:rFonts w:asciiTheme="majorHAnsi" w:hAnsiTheme="majorHAnsi" w:cstheme="majorHAnsi"/>
                <w:sz w:val="18"/>
                <w:szCs w:val="18"/>
                <w:lang w:eastAsia="zh-CN"/>
              </w:rPr>
            </w:pPr>
          </w:p>
        </w:tc>
        <w:tc>
          <w:tcPr>
            <w:tcW w:w="1592" w:type="pct"/>
            <w:tcBorders>
              <w:left w:val="single" w:sz="4" w:space="0" w:color="auto"/>
            </w:tcBorders>
            <w:shd w:val="clear" w:color="auto" w:fill="auto"/>
            <w:noWrap/>
            <w:vAlign w:val="center"/>
            <w:hideMark/>
          </w:tcPr>
          <w:p w14:paraId="533DE5D8" w14:textId="77777777" w:rsidR="003D14C1" w:rsidRPr="00374C95" w:rsidRDefault="003D14C1" w:rsidP="003D14C1">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In commercial building</w:t>
            </w:r>
          </w:p>
        </w:tc>
        <w:tc>
          <w:tcPr>
            <w:tcW w:w="699" w:type="pct"/>
            <w:shd w:val="clear" w:color="auto" w:fill="auto"/>
            <w:noWrap/>
            <w:vAlign w:val="center"/>
            <w:hideMark/>
          </w:tcPr>
          <w:p w14:paraId="08A77F44" w14:textId="377D5750"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1.7%</w:t>
            </w:r>
          </w:p>
        </w:tc>
        <w:tc>
          <w:tcPr>
            <w:tcW w:w="699" w:type="pct"/>
            <w:shd w:val="clear" w:color="auto" w:fill="auto"/>
            <w:noWrap/>
            <w:vAlign w:val="center"/>
            <w:hideMark/>
          </w:tcPr>
          <w:p w14:paraId="1CCA077B" w14:textId="25BD46AE"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1.2%</w:t>
            </w:r>
          </w:p>
        </w:tc>
        <w:tc>
          <w:tcPr>
            <w:tcW w:w="699" w:type="pct"/>
            <w:shd w:val="clear" w:color="auto" w:fill="auto"/>
            <w:noWrap/>
            <w:vAlign w:val="center"/>
            <w:hideMark/>
          </w:tcPr>
          <w:p w14:paraId="0D8DC0DE" w14:textId="54077D4C" w:rsidR="003D14C1" w:rsidRPr="003D14C1" w:rsidRDefault="003D14C1" w:rsidP="003D14C1">
            <w:pPr>
              <w:spacing w:line="240" w:lineRule="auto"/>
              <w:jc w:val="both"/>
              <w:rPr>
                <w:rFonts w:asciiTheme="majorHAnsi" w:hAnsiTheme="majorHAnsi" w:cstheme="majorHAnsi"/>
                <w:sz w:val="18"/>
                <w:szCs w:val="18"/>
                <w:lang w:eastAsia="zh-CN"/>
              </w:rPr>
            </w:pPr>
            <w:r w:rsidRPr="003D14C1">
              <w:rPr>
                <w:sz w:val="18"/>
                <w:szCs w:val="18"/>
              </w:rPr>
              <w:t>1.0%</w:t>
            </w:r>
          </w:p>
        </w:tc>
      </w:tr>
    </w:tbl>
    <w:p w14:paraId="5BD6904F" w14:textId="77777777" w:rsidR="002C2D5C" w:rsidRDefault="002C2D5C" w:rsidP="002C2D5C">
      <w:pPr>
        <w:pStyle w:val="Source"/>
        <w:jc w:val="both"/>
        <w:rPr>
          <w:lang w:val="en-GB"/>
        </w:rPr>
      </w:pPr>
      <w:r w:rsidRPr="005C7909">
        <w:rPr>
          <w:lang w:val="en-GB"/>
        </w:rPr>
        <w:t>Source: ONS 2011, AECOM Calculations</w:t>
      </w:r>
    </w:p>
    <w:p w14:paraId="7E9CF6F1" w14:textId="6A543791" w:rsidR="00F14646" w:rsidRPr="00F14646" w:rsidRDefault="00784F10" w:rsidP="00784F10">
      <w:pPr>
        <w:pStyle w:val="Heading3"/>
      </w:pPr>
      <w:bookmarkStart w:id="135" w:name="_Toc64026811"/>
      <w:r>
        <w:t>Dwelling size</w:t>
      </w:r>
      <w:bookmarkEnd w:id="135"/>
    </w:p>
    <w:p w14:paraId="516B0ABA" w14:textId="1F7DC19D" w:rsidR="002C2D5C" w:rsidRPr="00F14646" w:rsidRDefault="002C2D5C" w:rsidP="00A82210">
      <w:pPr>
        <w:pStyle w:val="ListNumber"/>
      </w:pPr>
      <w:r w:rsidRPr="00F14646">
        <w:fldChar w:fldCharType="begin"/>
      </w:r>
      <w:r w:rsidRPr="00F14646">
        <w:instrText xml:space="preserve"> REF _Ref2598573 \h  \* MERGEFORMAT </w:instrText>
      </w:r>
      <w:r w:rsidRPr="00F14646">
        <w:fldChar w:fldCharType="separate"/>
      </w:r>
      <w:r w:rsidR="00603781" w:rsidRPr="002D4F56">
        <w:t xml:space="preserve">Table </w:t>
      </w:r>
      <w:r w:rsidR="00603781">
        <w:rPr>
          <w:noProof/>
        </w:rPr>
        <w:t>5</w:t>
      </w:r>
      <w:r w:rsidR="00603781">
        <w:rPr>
          <w:noProof/>
        </w:rPr>
        <w:noBreakHyphen/>
        <w:t>2</w:t>
      </w:r>
      <w:r w:rsidRPr="00F14646">
        <w:fldChar w:fldCharType="end"/>
      </w:r>
      <w:r w:rsidRPr="00F14646">
        <w:t xml:space="preserve"> below sets out the distribution of the number of rooms by household space. The housing stock in </w:t>
      </w:r>
      <w:r w:rsidR="0015105E">
        <w:t>Weymouth</w:t>
      </w:r>
      <w:r w:rsidRPr="00F14646">
        <w:t xml:space="preserve"> is characterised by</w:t>
      </w:r>
      <w:r w:rsidR="00AD023B">
        <w:t xml:space="preserve"> </w:t>
      </w:r>
      <w:bookmarkStart w:id="136" w:name="_Hlk63153085"/>
      <w:r w:rsidR="00AD023B">
        <w:t>more small</w:t>
      </w:r>
      <w:r w:rsidR="00C3597D">
        <w:t xml:space="preserve"> (1-3 rooms)</w:t>
      </w:r>
      <w:r w:rsidR="00AD023B">
        <w:t xml:space="preserve"> and fewer</w:t>
      </w:r>
      <w:r w:rsidR="00C3597D">
        <w:t xml:space="preserve"> very</w:t>
      </w:r>
      <w:r w:rsidR="00AD023B">
        <w:t xml:space="preserve"> large </w:t>
      </w:r>
      <w:r w:rsidR="00C3597D">
        <w:t xml:space="preserve">(7-9 rooms) </w:t>
      </w:r>
      <w:r w:rsidR="00AD023B">
        <w:t>homes than Dorset, which appears to correlate with the above mentioned greater prevalence of terraced and flats over detached homes.</w:t>
      </w:r>
      <w:r w:rsidR="00C3597D">
        <w:t xml:space="preserve"> The most common size of home is however the same in the NA as across the county, at 5 rooms, occupied by 23 and 24% of the total number of households respectively. The proportions of 4 and 6 room properties are also similar in both areas.</w:t>
      </w:r>
    </w:p>
    <w:p w14:paraId="12876E38" w14:textId="446CCC37" w:rsidR="002C2D5C" w:rsidRPr="002D4F56" w:rsidRDefault="002C2D5C" w:rsidP="002C2D5C">
      <w:pPr>
        <w:pStyle w:val="Caption"/>
        <w:jc w:val="both"/>
        <w:rPr>
          <w:sz w:val="18"/>
          <w:szCs w:val="18"/>
          <w:highlight w:val="yellow"/>
        </w:rPr>
      </w:pPr>
      <w:bookmarkStart w:id="137" w:name="_Ref2598573"/>
      <w:bookmarkEnd w:id="136"/>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2</w:t>
      </w:r>
      <w:r w:rsidR="00BA4C32">
        <w:rPr>
          <w:sz w:val="18"/>
          <w:szCs w:val="18"/>
        </w:rPr>
        <w:fldChar w:fldCharType="end"/>
      </w:r>
      <w:bookmarkEnd w:id="137"/>
      <w:r w:rsidRPr="002D4F56">
        <w:rPr>
          <w:sz w:val="18"/>
          <w:szCs w:val="18"/>
        </w:rPr>
        <w:t>: Number of rooms per household</w:t>
      </w:r>
      <w:r w:rsidR="001F14A3" w:rsidRPr="002D4F56">
        <w:rPr>
          <w:sz w:val="18"/>
          <w:szCs w:val="18"/>
        </w:rPr>
        <w:t xml:space="preserve"> in </w:t>
      </w:r>
      <w:r w:rsidR="0015105E">
        <w:rPr>
          <w:sz w:val="18"/>
          <w:szCs w:val="18"/>
        </w:rPr>
        <w:t>Weymouth</w:t>
      </w:r>
      <w:r w:rsidRPr="002D4F56">
        <w:rPr>
          <w:sz w:val="18"/>
          <w:szCs w:val="18"/>
        </w:rPr>
        <w:t>, 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101"/>
        <w:gridCol w:w="3101"/>
      </w:tblGrid>
      <w:tr w:rsidR="00AD023B" w:rsidRPr="00374C95" w14:paraId="327AC91F" w14:textId="77777777" w:rsidTr="00C378B2">
        <w:trPr>
          <w:trHeight w:val="288"/>
        </w:trPr>
        <w:tc>
          <w:tcPr>
            <w:tcW w:w="1706" w:type="pct"/>
            <w:shd w:val="clear" w:color="auto" w:fill="000000" w:themeFill="text2"/>
            <w:noWrap/>
            <w:vAlign w:val="center"/>
            <w:hideMark/>
          </w:tcPr>
          <w:p w14:paraId="326E4AE1" w14:textId="77777777" w:rsidR="00AD023B" w:rsidRPr="00374C95" w:rsidRDefault="00AD023B" w:rsidP="00AD023B">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Number of Rooms</w:t>
            </w:r>
          </w:p>
        </w:tc>
        <w:tc>
          <w:tcPr>
            <w:tcW w:w="1647" w:type="pct"/>
            <w:shd w:val="clear" w:color="auto" w:fill="000000" w:themeFill="text2"/>
            <w:noWrap/>
            <w:vAlign w:val="center"/>
            <w:hideMark/>
          </w:tcPr>
          <w:p w14:paraId="4C3B6C02" w14:textId="2EC71ECA" w:rsidR="00AD023B" w:rsidRPr="00AD023B" w:rsidRDefault="00AD023B" w:rsidP="00AD023B">
            <w:pPr>
              <w:spacing w:line="240" w:lineRule="auto"/>
              <w:jc w:val="both"/>
              <w:rPr>
                <w:rFonts w:cstheme="minorHAnsi"/>
                <w:b/>
                <w:color w:val="FFFFFF" w:themeColor="background1"/>
                <w:sz w:val="18"/>
                <w:szCs w:val="18"/>
                <w:lang w:eastAsia="zh-CN"/>
              </w:rPr>
            </w:pPr>
            <w:r w:rsidRPr="00AD023B">
              <w:rPr>
                <w:b/>
                <w:bCs/>
                <w:color w:val="FFFFFF"/>
                <w:sz w:val="18"/>
                <w:szCs w:val="18"/>
              </w:rPr>
              <w:t>Weymouth</w:t>
            </w:r>
          </w:p>
        </w:tc>
        <w:tc>
          <w:tcPr>
            <w:tcW w:w="1647" w:type="pct"/>
            <w:shd w:val="clear" w:color="auto" w:fill="000000" w:themeFill="text2"/>
            <w:noWrap/>
            <w:vAlign w:val="center"/>
            <w:hideMark/>
          </w:tcPr>
          <w:p w14:paraId="1EAB7380" w14:textId="68A63241" w:rsidR="00AD023B" w:rsidRPr="00AD023B" w:rsidRDefault="00AD023B" w:rsidP="00AD023B">
            <w:pPr>
              <w:spacing w:line="240" w:lineRule="auto"/>
              <w:jc w:val="both"/>
              <w:rPr>
                <w:rFonts w:cstheme="minorHAnsi"/>
                <w:b/>
                <w:color w:val="FFFFFF" w:themeColor="background1"/>
                <w:sz w:val="18"/>
                <w:szCs w:val="18"/>
                <w:lang w:eastAsia="zh-CN"/>
              </w:rPr>
            </w:pPr>
            <w:r w:rsidRPr="00AD023B">
              <w:rPr>
                <w:b/>
                <w:bCs/>
                <w:color w:val="FFFFFF"/>
                <w:sz w:val="18"/>
                <w:szCs w:val="18"/>
              </w:rPr>
              <w:t>Dorset</w:t>
            </w:r>
            <w:r w:rsidR="0099461D">
              <w:rPr>
                <w:rStyle w:val="FootnoteReference"/>
                <w:b/>
                <w:bCs/>
                <w:sz w:val="18"/>
                <w:szCs w:val="18"/>
              </w:rPr>
              <w:footnoteReference w:id="41"/>
            </w:r>
          </w:p>
        </w:tc>
      </w:tr>
      <w:tr w:rsidR="00AD023B" w:rsidRPr="00374C95" w14:paraId="583DC219" w14:textId="77777777" w:rsidTr="00C3597D">
        <w:trPr>
          <w:trHeight w:val="288"/>
        </w:trPr>
        <w:tc>
          <w:tcPr>
            <w:tcW w:w="1706" w:type="pct"/>
            <w:shd w:val="clear" w:color="auto" w:fill="auto"/>
            <w:noWrap/>
            <w:vAlign w:val="center"/>
            <w:hideMark/>
          </w:tcPr>
          <w:p w14:paraId="2B827903" w14:textId="77777777" w:rsidR="00AD023B" w:rsidRPr="00374C95" w:rsidRDefault="00AD023B" w:rsidP="00AD023B">
            <w:pPr>
              <w:spacing w:line="240" w:lineRule="auto"/>
              <w:jc w:val="both"/>
              <w:rPr>
                <w:rFonts w:cstheme="minorHAnsi"/>
                <w:sz w:val="18"/>
                <w:szCs w:val="18"/>
                <w:lang w:eastAsia="zh-CN"/>
              </w:rPr>
            </w:pPr>
            <w:r w:rsidRPr="00374C95">
              <w:rPr>
                <w:rFonts w:cstheme="minorHAnsi"/>
                <w:sz w:val="18"/>
                <w:szCs w:val="18"/>
                <w:lang w:eastAsia="zh-CN"/>
              </w:rPr>
              <w:t>1 Room</w:t>
            </w:r>
          </w:p>
        </w:tc>
        <w:tc>
          <w:tcPr>
            <w:tcW w:w="1647" w:type="pct"/>
            <w:shd w:val="clear" w:color="auto" w:fill="auto"/>
            <w:noWrap/>
            <w:vAlign w:val="center"/>
            <w:hideMark/>
          </w:tcPr>
          <w:p w14:paraId="47693E42" w14:textId="04311675" w:rsidR="00AD023B" w:rsidRPr="00AD023B" w:rsidRDefault="00AD023B" w:rsidP="00AD023B">
            <w:pPr>
              <w:spacing w:line="240" w:lineRule="auto"/>
              <w:jc w:val="both"/>
              <w:rPr>
                <w:rFonts w:cstheme="minorHAnsi"/>
                <w:sz w:val="18"/>
                <w:szCs w:val="18"/>
                <w:lang w:eastAsia="zh-CN"/>
              </w:rPr>
            </w:pPr>
            <w:r w:rsidRPr="00AD023B">
              <w:rPr>
                <w:sz w:val="18"/>
                <w:szCs w:val="18"/>
              </w:rPr>
              <w:t>0.4%</w:t>
            </w:r>
          </w:p>
        </w:tc>
        <w:tc>
          <w:tcPr>
            <w:tcW w:w="1647" w:type="pct"/>
            <w:shd w:val="clear" w:color="auto" w:fill="auto"/>
            <w:noWrap/>
            <w:vAlign w:val="center"/>
            <w:hideMark/>
          </w:tcPr>
          <w:p w14:paraId="2B863F79" w14:textId="618D5CD0" w:rsidR="00AD023B" w:rsidRPr="00AD023B" w:rsidRDefault="00AD023B" w:rsidP="00AD023B">
            <w:pPr>
              <w:spacing w:line="240" w:lineRule="auto"/>
              <w:jc w:val="both"/>
              <w:rPr>
                <w:rFonts w:cstheme="minorHAnsi"/>
                <w:sz w:val="18"/>
                <w:szCs w:val="18"/>
                <w:lang w:eastAsia="zh-CN"/>
              </w:rPr>
            </w:pPr>
            <w:r w:rsidRPr="00AD023B">
              <w:rPr>
                <w:sz w:val="18"/>
                <w:szCs w:val="18"/>
              </w:rPr>
              <w:t>0.3%</w:t>
            </w:r>
          </w:p>
        </w:tc>
      </w:tr>
      <w:tr w:rsidR="00AD023B" w:rsidRPr="00374C95" w14:paraId="045910EC" w14:textId="77777777" w:rsidTr="00C3597D">
        <w:trPr>
          <w:trHeight w:val="288"/>
        </w:trPr>
        <w:tc>
          <w:tcPr>
            <w:tcW w:w="1706" w:type="pct"/>
            <w:shd w:val="clear" w:color="auto" w:fill="auto"/>
            <w:noWrap/>
            <w:vAlign w:val="center"/>
            <w:hideMark/>
          </w:tcPr>
          <w:p w14:paraId="544C1B50" w14:textId="77777777" w:rsidR="00AD023B" w:rsidRPr="00374C95" w:rsidRDefault="00AD023B" w:rsidP="00AD023B">
            <w:pPr>
              <w:spacing w:line="240" w:lineRule="auto"/>
              <w:jc w:val="both"/>
              <w:rPr>
                <w:rFonts w:cstheme="minorHAnsi"/>
                <w:sz w:val="18"/>
                <w:szCs w:val="18"/>
                <w:lang w:eastAsia="zh-CN"/>
              </w:rPr>
            </w:pPr>
            <w:r w:rsidRPr="00374C95">
              <w:rPr>
                <w:rFonts w:cstheme="minorHAnsi"/>
                <w:sz w:val="18"/>
                <w:szCs w:val="18"/>
                <w:lang w:eastAsia="zh-CN"/>
              </w:rPr>
              <w:t>2 Rooms</w:t>
            </w:r>
          </w:p>
        </w:tc>
        <w:tc>
          <w:tcPr>
            <w:tcW w:w="1647" w:type="pct"/>
            <w:shd w:val="clear" w:color="auto" w:fill="auto"/>
            <w:noWrap/>
            <w:vAlign w:val="center"/>
            <w:hideMark/>
          </w:tcPr>
          <w:p w14:paraId="06C0AAED" w14:textId="1FE5FE5F" w:rsidR="00AD023B" w:rsidRPr="00AD023B" w:rsidRDefault="00AD023B" w:rsidP="00AD023B">
            <w:pPr>
              <w:spacing w:line="240" w:lineRule="auto"/>
              <w:jc w:val="both"/>
              <w:rPr>
                <w:rFonts w:cstheme="minorHAnsi"/>
                <w:sz w:val="18"/>
                <w:szCs w:val="18"/>
                <w:lang w:eastAsia="zh-CN"/>
              </w:rPr>
            </w:pPr>
            <w:r w:rsidRPr="00AD023B">
              <w:rPr>
                <w:sz w:val="18"/>
                <w:szCs w:val="18"/>
              </w:rPr>
              <w:t>2.9%</w:t>
            </w:r>
          </w:p>
        </w:tc>
        <w:tc>
          <w:tcPr>
            <w:tcW w:w="1647" w:type="pct"/>
            <w:shd w:val="clear" w:color="auto" w:fill="auto"/>
            <w:noWrap/>
            <w:vAlign w:val="center"/>
            <w:hideMark/>
          </w:tcPr>
          <w:p w14:paraId="2869F7ED" w14:textId="4F92856F" w:rsidR="00AD023B" w:rsidRPr="00AD023B" w:rsidRDefault="00AD023B" w:rsidP="00AD023B">
            <w:pPr>
              <w:spacing w:line="240" w:lineRule="auto"/>
              <w:jc w:val="both"/>
              <w:rPr>
                <w:rFonts w:cstheme="minorHAnsi"/>
                <w:sz w:val="18"/>
                <w:szCs w:val="18"/>
                <w:lang w:eastAsia="zh-CN"/>
              </w:rPr>
            </w:pPr>
            <w:r w:rsidRPr="00AD023B">
              <w:rPr>
                <w:sz w:val="18"/>
                <w:szCs w:val="18"/>
              </w:rPr>
              <w:t>1.9%</w:t>
            </w:r>
          </w:p>
        </w:tc>
      </w:tr>
      <w:tr w:rsidR="00AD023B" w:rsidRPr="00374C95" w14:paraId="56E03627" w14:textId="77777777" w:rsidTr="00C3597D">
        <w:trPr>
          <w:trHeight w:val="288"/>
        </w:trPr>
        <w:tc>
          <w:tcPr>
            <w:tcW w:w="1706" w:type="pct"/>
            <w:shd w:val="clear" w:color="auto" w:fill="auto"/>
            <w:noWrap/>
            <w:vAlign w:val="center"/>
            <w:hideMark/>
          </w:tcPr>
          <w:p w14:paraId="67EAEEB2" w14:textId="77777777" w:rsidR="00AD023B" w:rsidRPr="00374C95" w:rsidRDefault="00AD023B" w:rsidP="00AD023B">
            <w:pPr>
              <w:spacing w:line="240" w:lineRule="auto"/>
              <w:jc w:val="both"/>
              <w:rPr>
                <w:rFonts w:cstheme="minorHAnsi"/>
                <w:sz w:val="18"/>
                <w:szCs w:val="18"/>
                <w:lang w:eastAsia="zh-CN"/>
              </w:rPr>
            </w:pPr>
            <w:r w:rsidRPr="00374C95">
              <w:rPr>
                <w:rFonts w:cstheme="minorHAnsi"/>
                <w:sz w:val="18"/>
                <w:szCs w:val="18"/>
                <w:lang w:eastAsia="zh-CN"/>
              </w:rPr>
              <w:t>3 Rooms</w:t>
            </w:r>
          </w:p>
        </w:tc>
        <w:tc>
          <w:tcPr>
            <w:tcW w:w="1647" w:type="pct"/>
            <w:shd w:val="clear" w:color="auto" w:fill="auto"/>
            <w:noWrap/>
            <w:vAlign w:val="center"/>
            <w:hideMark/>
          </w:tcPr>
          <w:p w14:paraId="3AD40F03" w14:textId="350B05D6" w:rsidR="00AD023B" w:rsidRPr="00AD023B" w:rsidRDefault="00AD023B" w:rsidP="00AD023B">
            <w:pPr>
              <w:spacing w:line="240" w:lineRule="auto"/>
              <w:jc w:val="both"/>
              <w:rPr>
                <w:rFonts w:cstheme="minorHAnsi"/>
                <w:sz w:val="18"/>
                <w:szCs w:val="18"/>
                <w:lang w:eastAsia="zh-CN"/>
              </w:rPr>
            </w:pPr>
            <w:r w:rsidRPr="00AD023B">
              <w:rPr>
                <w:sz w:val="18"/>
                <w:szCs w:val="18"/>
              </w:rPr>
              <w:t>11.3%</w:t>
            </w:r>
          </w:p>
        </w:tc>
        <w:tc>
          <w:tcPr>
            <w:tcW w:w="1647" w:type="pct"/>
            <w:shd w:val="clear" w:color="auto" w:fill="auto"/>
            <w:noWrap/>
            <w:vAlign w:val="center"/>
            <w:hideMark/>
          </w:tcPr>
          <w:p w14:paraId="7450B297" w14:textId="29D6847B" w:rsidR="00AD023B" w:rsidRPr="00AD023B" w:rsidRDefault="00AD023B" w:rsidP="00AD023B">
            <w:pPr>
              <w:spacing w:line="240" w:lineRule="auto"/>
              <w:jc w:val="both"/>
              <w:rPr>
                <w:rFonts w:cstheme="minorHAnsi"/>
                <w:sz w:val="18"/>
                <w:szCs w:val="18"/>
                <w:lang w:eastAsia="zh-CN"/>
              </w:rPr>
            </w:pPr>
            <w:r w:rsidRPr="00AD023B">
              <w:rPr>
                <w:sz w:val="18"/>
                <w:szCs w:val="18"/>
              </w:rPr>
              <w:t>7.5%</w:t>
            </w:r>
          </w:p>
        </w:tc>
      </w:tr>
      <w:tr w:rsidR="00AD023B" w:rsidRPr="00374C95" w14:paraId="63BFA6BC" w14:textId="77777777" w:rsidTr="00C3597D">
        <w:trPr>
          <w:trHeight w:val="288"/>
        </w:trPr>
        <w:tc>
          <w:tcPr>
            <w:tcW w:w="1706" w:type="pct"/>
            <w:shd w:val="clear" w:color="auto" w:fill="auto"/>
            <w:noWrap/>
            <w:vAlign w:val="center"/>
            <w:hideMark/>
          </w:tcPr>
          <w:p w14:paraId="728A5433" w14:textId="77777777" w:rsidR="00AD023B" w:rsidRPr="00374C95" w:rsidRDefault="00AD023B" w:rsidP="00AD023B">
            <w:pPr>
              <w:spacing w:line="240" w:lineRule="auto"/>
              <w:jc w:val="both"/>
              <w:rPr>
                <w:rFonts w:cstheme="minorHAnsi"/>
                <w:sz w:val="18"/>
                <w:szCs w:val="18"/>
                <w:lang w:eastAsia="zh-CN"/>
              </w:rPr>
            </w:pPr>
            <w:r w:rsidRPr="00374C95">
              <w:rPr>
                <w:rFonts w:cstheme="minorHAnsi"/>
                <w:sz w:val="18"/>
                <w:szCs w:val="18"/>
                <w:lang w:eastAsia="zh-CN"/>
              </w:rPr>
              <w:t>4 Rooms</w:t>
            </w:r>
          </w:p>
        </w:tc>
        <w:tc>
          <w:tcPr>
            <w:tcW w:w="1647" w:type="pct"/>
            <w:shd w:val="clear" w:color="auto" w:fill="auto"/>
            <w:noWrap/>
            <w:vAlign w:val="center"/>
            <w:hideMark/>
          </w:tcPr>
          <w:p w14:paraId="3FCD2728" w14:textId="4E9FAE66" w:rsidR="00AD023B" w:rsidRPr="00AD023B" w:rsidRDefault="00AD023B" w:rsidP="00AD023B">
            <w:pPr>
              <w:spacing w:line="240" w:lineRule="auto"/>
              <w:jc w:val="both"/>
              <w:rPr>
                <w:rFonts w:cstheme="minorHAnsi"/>
                <w:sz w:val="18"/>
                <w:szCs w:val="18"/>
                <w:lang w:eastAsia="zh-CN"/>
              </w:rPr>
            </w:pPr>
            <w:r w:rsidRPr="00AD023B">
              <w:rPr>
                <w:sz w:val="18"/>
                <w:szCs w:val="18"/>
              </w:rPr>
              <w:t>19.9%</w:t>
            </w:r>
          </w:p>
        </w:tc>
        <w:tc>
          <w:tcPr>
            <w:tcW w:w="1647" w:type="pct"/>
            <w:shd w:val="clear" w:color="auto" w:fill="auto"/>
            <w:noWrap/>
            <w:vAlign w:val="center"/>
            <w:hideMark/>
          </w:tcPr>
          <w:p w14:paraId="3C640279" w14:textId="11F2DEBF" w:rsidR="00AD023B" w:rsidRPr="00AD023B" w:rsidRDefault="00AD023B" w:rsidP="00AD023B">
            <w:pPr>
              <w:spacing w:line="240" w:lineRule="auto"/>
              <w:jc w:val="both"/>
              <w:rPr>
                <w:rFonts w:cstheme="minorHAnsi"/>
                <w:sz w:val="18"/>
                <w:szCs w:val="18"/>
                <w:lang w:eastAsia="zh-CN"/>
              </w:rPr>
            </w:pPr>
            <w:r w:rsidRPr="00AD023B">
              <w:rPr>
                <w:sz w:val="18"/>
                <w:szCs w:val="18"/>
              </w:rPr>
              <w:t>18.3%</w:t>
            </w:r>
          </w:p>
        </w:tc>
      </w:tr>
      <w:tr w:rsidR="00AD023B" w:rsidRPr="00374C95" w14:paraId="3D33B514" w14:textId="77777777" w:rsidTr="00C3597D">
        <w:trPr>
          <w:trHeight w:val="288"/>
        </w:trPr>
        <w:tc>
          <w:tcPr>
            <w:tcW w:w="1706" w:type="pct"/>
            <w:shd w:val="clear" w:color="auto" w:fill="auto"/>
            <w:noWrap/>
            <w:vAlign w:val="center"/>
            <w:hideMark/>
          </w:tcPr>
          <w:p w14:paraId="4A6C5EC7" w14:textId="77777777" w:rsidR="00AD023B" w:rsidRPr="00374C95" w:rsidRDefault="00AD023B" w:rsidP="00AD023B">
            <w:pPr>
              <w:spacing w:line="240" w:lineRule="auto"/>
              <w:jc w:val="both"/>
              <w:rPr>
                <w:rFonts w:cstheme="minorHAnsi"/>
                <w:sz w:val="18"/>
                <w:szCs w:val="18"/>
                <w:lang w:eastAsia="zh-CN"/>
              </w:rPr>
            </w:pPr>
            <w:r w:rsidRPr="00374C95">
              <w:rPr>
                <w:rFonts w:cstheme="minorHAnsi"/>
                <w:sz w:val="18"/>
                <w:szCs w:val="18"/>
                <w:lang w:eastAsia="zh-CN"/>
              </w:rPr>
              <w:t>5 Rooms</w:t>
            </w:r>
          </w:p>
        </w:tc>
        <w:tc>
          <w:tcPr>
            <w:tcW w:w="1647" w:type="pct"/>
            <w:shd w:val="clear" w:color="auto" w:fill="auto"/>
            <w:noWrap/>
            <w:vAlign w:val="center"/>
            <w:hideMark/>
          </w:tcPr>
          <w:p w14:paraId="3A7CC206" w14:textId="242979FE" w:rsidR="00AD023B" w:rsidRPr="00AD023B" w:rsidRDefault="00AD023B" w:rsidP="00AD023B">
            <w:pPr>
              <w:spacing w:line="240" w:lineRule="auto"/>
              <w:jc w:val="both"/>
              <w:rPr>
                <w:rFonts w:cstheme="minorHAnsi"/>
                <w:sz w:val="18"/>
                <w:szCs w:val="18"/>
                <w:lang w:eastAsia="zh-CN"/>
              </w:rPr>
            </w:pPr>
            <w:r w:rsidRPr="00AD023B">
              <w:rPr>
                <w:sz w:val="18"/>
                <w:szCs w:val="18"/>
              </w:rPr>
              <w:t>22.6%</w:t>
            </w:r>
          </w:p>
        </w:tc>
        <w:tc>
          <w:tcPr>
            <w:tcW w:w="1647" w:type="pct"/>
            <w:shd w:val="clear" w:color="auto" w:fill="auto"/>
            <w:noWrap/>
            <w:vAlign w:val="center"/>
            <w:hideMark/>
          </w:tcPr>
          <w:p w14:paraId="5F2C2FD4" w14:textId="51AA95D1" w:rsidR="00AD023B" w:rsidRPr="00AD023B" w:rsidRDefault="00AD023B" w:rsidP="00AD023B">
            <w:pPr>
              <w:spacing w:line="240" w:lineRule="auto"/>
              <w:jc w:val="both"/>
              <w:rPr>
                <w:rFonts w:cstheme="minorHAnsi"/>
                <w:sz w:val="18"/>
                <w:szCs w:val="18"/>
                <w:lang w:eastAsia="zh-CN"/>
              </w:rPr>
            </w:pPr>
            <w:r w:rsidRPr="00AD023B">
              <w:rPr>
                <w:sz w:val="18"/>
                <w:szCs w:val="18"/>
              </w:rPr>
              <w:t>23.8%</w:t>
            </w:r>
          </w:p>
        </w:tc>
      </w:tr>
      <w:tr w:rsidR="00AD023B" w:rsidRPr="00374C95" w14:paraId="31FBCC5C" w14:textId="77777777" w:rsidTr="00C3597D">
        <w:trPr>
          <w:trHeight w:val="288"/>
        </w:trPr>
        <w:tc>
          <w:tcPr>
            <w:tcW w:w="1706" w:type="pct"/>
            <w:shd w:val="clear" w:color="auto" w:fill="auto"/>
            <w:noWrap/>
            <w:vAlign w:val="center"/>
            <w:hideMark/>
          </w:tcPr>
          <w:p w14:paraId="03B68AAC" w14:textId="77777777" w:rsidR="00AD023B" w:rsidRPr="00374C95" w:rsidRDefault="00AD023B" w:rsidP="00AD023B">
            <w:pPr>
              <w:spacing w:line="240" w:lineRule="auto"/>
              <w:jc w:val="both"/>
              <w:rPr>
                <w:rFonts w:cstheme="minorHAnsi"/>
                <w:sz w:val="18"/>
                <w:szCs w:val="18"/>
                <w:lang w:eastAsia="zh-CN"/>
              </w:rPr>
            </w:pPr>
            <w:r w:rsidRPr="00374C95">
              <w:rPr>
                <w:rFonts w:cstheme="minorHAnsi"/>
                <w:sz w:val="18"/>
                <w:szCs w:val="18"/>
                <w:lang w:eastAsia="zh-CN"/>
              </w:rPr>
              <w:t>6 Rooms</w:t>
            </w:r>
          </w:p>
        </w:tc>
        <w:tc>
          <w:tcPr>
            <w:tcW w:w="1647" w:type="pct"/>
            <w:shd w:val="clear" w:color="auto" w:fill="auto"/>
            <w:noWrap/>
            <w:vAlign w:val="center"/>
            <w:hideMark/>
          </w:tcPr>
          <w:p w14:paraId="0CF2AA20" w14:textId="40E9DF80" w:rsidR="00AD023B" w:rsidRPr="00AD023B" w:rsidRDefault="00AD023B" w:rsidP="00AD023B">
            <w:pPr>
              <w:spacing w:line="240" w:lineRule="auto"/>
              <w:jc w:val="both"/>
              <w:rPr>
                <w:rFonts w:cstheme="minorHAnsi"/>
                <w:sz w:val="18"/>
                <w:szCs w:val="18"/>
                <w:lang w:eastAsia="zh-CN"/>
              </w:rPr>
            </w:pPr>
            <w:r w:rsidRPr="00AD023B">
              <w:rPr>
                <w:sz w:val="18"/>
                <w:szCs w:val="18"/>
              </w:rPr>
              <w:t>19.9%</w:t>
            </w:r>
          </w:p>
        </w:tc>
        <w:tc>
          <w:tcPr>
            <w:tcW w:w="1647" w:type="pct"/>
            <w:shd w:val="clear" w:color="auto" w:fill="auto"/>
            <w:noWrap/>
            <w:vAlign w:val="center"/>
            <w:hideMark/>
          </w:tcPr>
          <w:p w14:paraId="54754598" w14:textId="3610BE3B" w:rsidR="00AD023B" w:rsidRPr="00AD023B" w:rsidRDefault="00AD023B" w:rsidP="00AD023B">
            <w:pPr>
              <w:spacing w:line="240" w:lineRule="auto"/>
              <w:jc w:val="both"/>
              <w:rPr>
                <w:rFonts w:cstheme="minorHAnsi"/>
                <w:sz w:val="18"/>
                <w:szCs w:val="18"/>
                <w:lang w:eastAsia="zh-CN"/>
              </w:rPr>
            </w:pPr>
            <w:r w:rsidRPr="00AD023B">
              <w:rPr>
                <w:sz w:val="18"/>
                <w:szCs w:val="18"/>
              </w:rPr>
              <w:t>19.6%</w:t>
            </w:r>
          </w:p>
        </w:tc>
      </w:tr>
      <w:tr w:rsidR="00AD023B" w:rsidRPr="00374C95" w14:paraId="7B5C0075" w14:textId="77777777" w:rsidTr="00C3597D">
        <w:trPr>
          <w:trHeight w:val="288"/>
        </w:trPr>
        <w:tc>
          <w:tcPr>
            <w:tcW w:w="1706" w:type="pct"/>
            <w:shd w:val="clear" w:color="auto" w:fill="auto"/>
            <w:noWrap/>
            <w:vAlign w:val="center"/>
            <w:hideMark/>
          </w:tcPr>
          <w:p w14:paraId="23DBADBB" w14:textId="77777777" w:rsidR="00AD023B" w:rsidRPr="00374C95" w:rsidRDefault="00AD023B" w:rsidP="00AD023B">
            <w:pPr>
              <w:spacing w:line="240" w:lineRule="auto"/>
              <w:jc w:val="both"/>
              <w:rPr>
                <w:rFonts w:cstheme="minorHAnsi"/>
                <w:sz w:val="18"/>
                <w:szCs w:val="18"/>
                <w:lang w:eastAsia="zh-CN"/>
              </w:rPr>
            </w:pPr>
            <w:r w:rsidRPr="00374C95">
              <w:rPr>
                <w:rFonts w:cstheme="minorHAnsi"/>
                <w:sz w:val="18"/>
                <w:szCs w:val="18"/>
                <w:lang w:eastAsia="zh-CN"/>
              </w:rPr>
              <w:t>7 Rooms</w:t>
            </w:r>
          </w:p>
        </w:tc>
        <w:tc>
          <w:tcPr>
            <w:tcW w:w="1647" w:type="pct"/>
            <w:shd w:val="clear" w:color="auto" w:fill="auto"/>
            <w:noWrap/>
            <w:vAlign w:val="center"/>
            <w:hideMark/>
          </w:tcPr>
          <w:p w14:paraId="3DA49D46" w14:textId="3ACF53EE" w:rsidR="00AD023B" w:rsidRPr="00AD023B" w:rsidRDefault="00AD023B" w:rsidP="00AD023B">
            <w:pPr>
              <w:spacing w:line="240" w:lineRule="auto"/>
              <w:jc w:val="both"/>
              <w:rPr>
                <w:rFonts w:cstheme="minorHAnsi"/>
                <w:sz w:val="18"/>
                <w:szCs w:val="18"/>
                <w:lang w:eastAsia="zh-CN"/>
              </w:rPr>
            </w:pPr>
            <w:r w:rsidRPr="00AD023B">
              <w:rPr>
                <w:sz w:val="18"/>
                <w:szCs w:val="18"/>
              </w:rPr>
              <w:t>11.4%</w:t>
            </w:r>
          </w:p>
        </w:tc>
        <w:tc>
          <w:tcPr>
            <w:tcW w:w="1647" w:type="pct"/>
            <w:shd w:val="clear" w:color="auto" w:fill="auto"/>
            <w:noWrap/>
            <w:vAlign w:val="center"/>
            <w:hideMark/>
          </w:tcPr>
          <w:p w14:paraId="6F326510" w14:textId="5A3FB08E" w:rsidR="00AD023B" w:rsidRPr="00AD023B" w:rsidRDefault="00AD023B" w:rsidP="00AD023B">
            <w:pPr>
              <w:spacing w:line="240" w:lineRule="auto"/>
              <w:jc w:val="both"/>
              <w:rPr>
                <w:rFonts w:cstheme="minorHAnsi"/>
                <w:sz w:val="18"/>
                <w:szCs w:val="18"/>
                <w:lang w:eastAsia="zh-CN"/>
              </w:rPr>
            </w:pPr>
            <w:r w:rsidRPr="00AD023B">
              <w:rPr>
                <w:sz w:val="18"/>
                <w:szCs w:val="18"/>
              </w:rPr>
              <w:t>12.1%</w:t>
            </w:r>
          </w:p>
        </w:tc>
      </w:tr>
      <w:tr w:rsidR="00AD023B" w:rsidRPr="00374C95" w14:paraId="50078531" w14:textId="77777777" w:rsidTr="00C3597D">
        <w:trPr>
          <w:trHeight w:val="288"/>
        </w:trPr>
        <w:tc>
          <w:tcPr>
            <w:tcW w:w="1706" w:type="pct"/>
            <w:shd w:val="clear" w:color="auto" w:fill="auto"/>
            <w:noWrap/>
            <w:vAlign w:val="center"/>
            <w:hideMark/>
          </w:tcPr>
          <w:p w14:paraId="138A8D34" w14:textId="77777777" w:rsidR="00AD023B" w:rsidRPr="00374C95" w:rsidRDefault="00AD023B" w:rsidP="00AD023B">
            <w:pPr>
              <w:spacing w:line="240" w:lineRule="auto"/>
              <w:jc w:val="both"/>
              <w:rPr>
                <w:rFonts w:cstheme="minorHAnsi"/>
                <w:sz w:val="18"/>
                <w:szCs w:val="18"/>
                <w:lang w:eastAsia="zh-CN"/>
              </w:rPr>
            </w:pPr>
            <w:r w:rsidRPr="00374C95">
              <w:rPr>
                <w:rFonts w:cstheme="minorHAnsi"/>
                <w:sz w:val="18"/>
                <w:szCs w:val="18"/>
                <w:lang w:eastAsia="zh-CN"/>
              </w:rPr>
              <w:t>8 Rooms or more</w:t>
            </w:r>
          </w:p>
        </w:tc>
        <w:tc>
          <w:tcPr>
            <w:tcW w:w="1647" w:type="pct"/>
            <w:shd w:val="clear" w:color="auto" w:fill="auto"/>
            <w:noWrap/>
            <w:vAlign w:val="center"/>
            <w:hideMark/>
          </w:tcPr>
          <w:p w14:paraId="4557D1BE" w14:textId="3BDB2BEC" w:rsidR="00AD023B" w:rsidRPr="00AD023B" w:rsidRDefault="00AD023B" w:rsidP="00AD023B">
            <w:pPr>
              <w:spacing w:line="240" w:lineRule="auto"/>
              <w:jc w:val="both"/>
              <w:rPr>
                <w:rFonts w:cstheme="minorHAnsi"/>
                <w:sz w:val="18"/>
                <w:szCs w:val="18"/>
                <w:lang w:eastAsia="zh-CN"/>
              </w:rPr>
            </w:pPr>
            <w:r w:rsidRPr="00AD023B">
              <w:rPr>
                <w:sz w:val="18"/>
                <w:szCs w:val="18"/>
              </w:rPr>
              <w:t>6.4%</w:t>
            </w:r>
          </w:p>
        </w:tc>
        <w:tc>
          <w:tcPr>
            <w:tcW w:w="1647" w:type="pct"/>
            <w:shd w:val="clear" w:color="auto" w:fill="auto"/>
            <w:noWrap/>
            <w:vAlign w:val="center"/>
            <w:hideMark/>
          </w:tcPr>
          <w:p w14:paraId="5516354C" w14:textId="039C79FF" w:rsidR="00AD023B" w:rsidRPr="00AD023B" w:rsidRDefault="00AD023B" w:rsidP="00AD023B">
            <w:pPr>
              <w:spacing w:line="240" w:lineRule="auto"/>
              <w:jc w:val="both"/>
              <w:rPr>
                <w:rFonts w:cstheme="minorHAnsi"/>
                <w:sz w:val="18"/>
                <w:szCs w:val="18"/>
                <w:lang w:eastAsia="zh-CN"/>
              </w:rPr>
            </w:pPr>
            <w:r w:rsidRPr="00AD023B">
              <w:rPr>
                <w:sz w:val="18"/>
                <w:szCs w:val="18"/>
              </w:rPr>
              <w:t>8.0%</w:t>
            </w:r>
          </w:p>
        </w:tc>
      </w:tr>
      <w:tr w:rsidR="00AD023B" w:rsidRPr="00374C95" w14:paraId="1EBE86CC" w14:textId="77777777" w:rsidTr="00C3597D">
        <w:trPr>
          <w:trHeight w:val="288"/>
        </w:trPr>
        <w:tc>
          <w:tcPr>
            <w:tcW w:w="1706" w:type="pct"/>
            <w:shd w:val="clear" w:color="auto" w:fill="auto"/>
            <w:noWrap/>
            <w:vAlign w:val="center"/>
            <w:hideMark/>
          </w:tcPr>
          <w:p w14:paraId="4B8D87CF" w14:textId="77777777" w:rsidR="00AD023B" w:rsidRPr="00374C95" w:rsidRDefault="00AD023B" w:rsidP="00AD023B">
            <w:pPr>
              <w:spacing w:line="240" w:lineRule="auto"/>
              <w:jc w:val="both"/>
              <w:rPr>
                <w:rFonts w:cstheme="minorHAnsi"/>
                <w:sz w:val="18"/>
                <w:szCs w:val="18"/>
                <w:lang w:eastAsia="zh-CN"/>
              </w:rPr>
            </w:pPr>
            <w:r w:rsidRPr="00374C95">
              <w:rPr>
                <w:rFonts w:cstheme="minorHAnsi"/>
                <w:sz w:val="18"/>
                <w:szCs w:val="18"/>
                <w:lang w:eastAsia="zh-CN"/>
              </w:rPr>
              <w:t>9 Rooms or more</w:t>
            </w:r>
          </w:p>
        </w:tc>
        <w:tc>
          <w:tcPr>
            <w:tcW w:w="1647" w:type="pct"/>
            <w:shd w:val="clear" w:color="auto" w:fill="auto"/>
            <w:noWrap/>
            <w:vAlign w:val="center"/>
            <w:hideMark/>
          </w:tcPr>
          <w:p w14:paraId="0F9FF654" w14:textId="2D70ADBA" w:rsidR="00AD023B" w:rsidRPr="00AD023B" w:rsidRDefault="00AD023B" w:rsidP="00AD023B">
            <w:pPr>
              <w:spacing w:line="240" w:lineRule="auto"/>
              <w:jc w:val="both"/>
              <w:rPr>
                <w:rFonts w:cstheme="minorHAnsi"/>
                <w:sz w:val="18"/>
                <w:szCs w:val="18"/>
                <w:lang w:eastAsia="zh-CN"/>
              </w:rPr>
            </w:pPr>
            <w:r w:rsidRPr="00AD023B">
              <w:rPr>
                <w:sz w:val="18"/>
                <w:szCs w:val="18"/>
              </w:rPr>
              <w:t>5.0%</w:t>
            </w:r>
          </w:p>
        </w:tc>
        <w:tc>
          <w:tcPr>
            <w:tcW w:w="1647" w:type="pct"/>
            <w:shd w:val="clear" w:color="auto" w:fill="auto"/>
            <w:noWrap/>
            <w:vAlign w:val="center"/>
            <w:hideMark/>
          </w:tcPr>
          <w:p w14:paraId="06B9BE19" w14:textId="7135FE5A" w:rsidR="00AD023B" w:rsidRPr="00AD023B" w:rsidRDefault="00AD023B" w:rsidP="00AD023B">
            <w:pPr>
              <w:spacing w:line="240" w:lineRule="auto"/>
              <w:jc w:val="both"/>
              <w:rPr>
                <w:rFonts w:cstheme="minorHAnsi"/>
                <w:sz w:val="18"/>
                <w:szCs w:val="18"/>
                <w:lang w:eastAsia="zh-CN"/>
              </w:rPr>
            </w:pPr>
            <w:r w:rsidRPr="00AD023B">
              <w:rPr>
                <w:sz w:val="18"/>
                <w:szCs w:val="18"/>
              </w:rPr>
              <w:t>8.5%</w:t>
            </w:r>
          </w:p>
        </w:tc>
      </w:tr>
    </w:tbl>
    <w:p w14:paraId="0E45FF0D" w14:textId="77777777" w:rsidR="002C2D5C" w:rsidRPr="00374C95" w:rsidRDefault="002C2D5C" w:rsidP="002C2D5C">
      <w:pPr>
        <w:pStyle w:val="Source"/>
        <w:jc w:val="both"/>
        <w:rPr>
          <w:sz w:val="18"/>
          <w:szCs w:val="18"/>
          <w:lang w:val="en-GB"/>
        </w:rPr>
      </w:pPr>
      <w:r w:rsidRPr="00374C95">
        <w:rPr>
          <w:sz w:val="18"/>
          <w:szCs w:val="18"/>
          <w:lang w:val="en-GB"/>
        </w:rPr>
        <w:t>Source: ONS 2011, AECOM Calculations</w:t>
      </w:r>
    </w:p>
    <w:p w14:paraId="2E565F61" w14:textId="0A7C6041" w:rsidR="002C2D5C" w:rsidRPr="00072C9E" w:rsidRDefault="002C2D5C" w:rsidP="00A82210">
      <w:pPr>
        <w:pStyle w:val="ListNumber"/>
      </w:pPr>
      <w:r w:rsidRPr="00764221">
        <w:t>It is also relevant to consider how the number of rooms occupied by households chan</w:t>
      </w:r>
      <w:r w:rsidR="00764221">
        <w:t>ged between the 2001 and 2011 C</w:t>
      </w:r>
      <w:r w:rsidRPr="00764221">
        <w:t xml:space="preserve">ensuses. The </w:t>
      </w:r>
      <w:r w:rsidR="00940A2B">
        <w:t>most significant percentage</w:t>
      </w:r>
      <w:r w:rsidRPr="00764221">
        <w:t xml:space="preserve"> change from the 2001 </w:t>
      </w:r>
      <w:r w:rsidR="00764221">
        <w:t>C</w:t>
      </w:r>
      <w:r w:rsidRPr="00764221">
        <w:t>ensus findings is that</w:t>
      </w:r>
      <w:r w:rsidR="00940A2B">
        <w:t xml:space="preserve"> the </w:t>
      </w:r>
      <w:r w:rsidR="00153BBE">
        <w:t>proportion</w:t>
      </w:r>
      <w:r w:rsidR="00940A2B">
        <w:t xml:space="preserve"> of one room homes has decreased significantly (although the total proportion of these homes in the market was not significant even before this decline). The proportion of 5 and 6 room properties also declined, but only marginally, with the biggest % increases recorded in the largest category of 7 and 8+ room properties, as well as a significant increase in 2-3 room properties. While the percentage changes are slightly more pronounced than across the county and nationally, the trends observed are nevertheless similar</w:t>
      </w:r>
      <w:r w:rsidR="003C50AF">
        <w:t xml:space="preserve"> across</w:t>
      </w:r>
      <w:r w:rsidR="00B05ECB">
        <w:t xml:space="preserve"> all</w:t>
      </w:r>
      <w:r w:rsidR="003C50AF">
        <w:t xml:space="preserve"> three geographies.</w:t>
      </w:r>
    </w:p>
    <w:p w14:paraId="4295D4EB" w14:textId="4765806F" w:rsidR="002C2D5C" w:rsidRPr="002D4F56" w:rsidRDefault="002C2D5C" w:rsidP="002C2D5C">
      <w:pPr>
        <w:pStyle w:val="Caption"/>
        <w:jc w:val="both"/>
        <w:rPr>
          <w:sz w:val="18"/>
          <w:szCs w:val="18"/>
        </w:rPr>
      </w:pPr>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3</w:t>
      </w:r>
      <w:r w:rsidR="00BA4C32">
        <w:rPr>
          <w:sz w:val="18"/>
          <w:szCs w:val="18"/>
        </w:rPr>
        <w:fldChar w:fldCharType="end"/>
      </w:r>
      <w:r w:rsidRPr="002D4F56">
        <w:rPr>
          <w:sz w:val="18"/>
          <w:szCs w:val="18"/>
        </w:rPr>
        <w:t xml:space="preserve">: Rates of change in number of rooms per household in </w:t>
      </w:r>
      <w:r w:rsidR="0015105E">
        <w:rPr>
          <w:sz w:val="18"/>
          <w:szCs w:val="18"/>
        </w:rPr>
        <w:t>Weymouth</w:t>
      </w:r>
      <w:r w:rsidRPr="002D4F56">
        <w:rPr>
          <w:sz w:val="18"/>
          <w:szCs w:val="18"/>
        </w:rPr>
        <w:t>, 2001-2011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325"/>
        <w:gridCol w:w="2325"/>
        <w:gridCol w:w="2325"/>
      </w:tblGrid>
      <w:tr w:rsidR="00C3597D" w:rsidRPr="00374C95" w14:paraId="4936CBF2" w14:textId="77777777" w:rsidTr="00C378B2">
        <w:trPr>
          <w:trHeight w:val="288"/>
        </w:trPr>
        <w:tc>
          <w:tcPr>
            <w:tcW w:w="1295" w:type="pct"/>
            <w:shd w:val="clear" w:color="auto" w:fill="000000" w:themeFill="text1"/>
            <w:noWrap/>
            <w:vAlign w:val="center"/>
            <w:hideMark/>
          </w:tcPr>
          <w:p w14:paraId="09161C8F" w14:textId="77777777" w:rsidR="00C3597D" w:rsidRPr="00374C95" w:rsidRDefault="00C3597D" w:rsidP="00C3597D">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Number of Rooms</w:t>
            </w:r>
          </w:p>
        </w:tc>
        <w:tc>
          <w:tcPr>
            <w:tcW w:w="1235" w:type="pct"/>
            <w:shd w:val="clear" w:color="auto" w:fill="000000" w:themeFill="text1"/>
            <w:noWrap/>
            <w:vAlign w:val="center"/>
            <w:hideMark/>
          </w:tcPr>
          <w:p w14:paraId="30523D9E" w14:textId="765BAAA4" w:rsidR="00C3597D" w:rsidRPr="00C3597D" w:rsidRDefault="00C3597D" w:rsidP="00C3597D">
            <w:pPr>
              <w:spacing w:line="240" w:lineRule="auto"/>
              <w:jc w:val="both"/>
              <w:rPr>
                <w:rFonts w:cstheme="minorHAnsi"/>
                <w:b/>
                <w:bCs/>
                <w:color w:val="FFFFFF" w:themeColor="background1"/>
                <w:sz w:val="18"/>
                <w:szCs w:val="18"/>
                <w:lang w:eastAsia="zh-CN"/>
              </w:rPr>
            </w:pPr>
            <w:r w:rsidRPr="00C3597D">
              <w:rPr>
                <w:b/>
                <w:bCs/>
                <w:color w:val="FFFFFF"/>
                <w:sz w:val="18"/>
                <w:szCs w:val="18"/>
              </w:rPr>
              <w:t>Weymouth</w:t>
            </w:r>
          </w:p>
        </w:tc>
        <w:tc>
          <w:tcPr>
            <w:tcW w:w="1235" w:type="pct"/>
            <w:shd w:val="clear" w:color="auto" w:fill="000000" w:themeFill="text1"/>
            <w:noWrap/>
            <w:vAlign w:val="center"/>
            <w:hideMark/>
          </w:tcPr>
          <w:p w14:paraId="5E129B8E" w14:textId="1F11A452" w:rsidR="00C3597D" w:rsidRPr="00C3597D" w:rsidRDefault="00C3597D" w:rsidP="00C3597D">
            <w:pPr>
              <w:spacing w:line="240" w:lineRule="auto"/>
              <w:jc w:val="both"/>
              <w:rPr>
                <w:rFonts w:cstheme="minorHAnsi"/>
                <w:b/>
                <w:bCs/>
                <w:color w:val="FFFFFF" w:themeColor="background1"/>
                <w:sz w:val="18"/>
                <w:szCs w:val="18"/>
                <w:lang w:eastAsia="zh-CN"/>
              </w:rPr>
            </w:pPr>
            <w:r w:rsidRPr="00C3597D">
              <w:rPr>
                <w:b/>
                <w:bCs/>
                <w:color w:val="FFFFFF"/>
                <w:sz w:val="18"/>
                <w:szCs w:val="18"/>
              </w:rPr>
              <w:t>Dorset</w:t>
            </w:r>
            <w:r w:rsidR="0099461D">
              <w:rPr>
                <w:rStyle w:val="FootnoteReference"/>
                <w:b/>
                <w:bCs/>
                <w:sz w:val="18"/>
                <w:szCs w:val="18"/>
              </w:rPr>
              <w:footnoteReference w:id="42"/>
            </w:r>
          </w:p>
        </w:tc>
        <w:tc>
          <w:tcPr>
            <w:tcW w:w="1235" w:type="pct"/>
            <w:shd w:val="clear" w:color="auto" w:fill="000000" w:themeFill="text1"/>
            <w:noWrap/>
            <w:vAlign w:val="center"/>
            <w:hideMark/>
          </w:tcPr>
          <w:p w14:paraId="0AE68988" w14:textId="4F53E6C0" w:rsidR="00C3597D" w:rsidRPr="00C3597D" w:rsidRDefault="00C3597D" w:rsidP="00C3597D">
            <w:pPr>
              <w:spacing w:line="240" w:lineRule="auto"/>
              <w:jc w:val="both"/>
              <w:rPr>
                <w:rFonts w:cstheme="minorHAnsi"/>
                <w:b/>
                <w:bCs/>
                <w:color w:val="FFFFFF" w:themeColor="background1"/>
                <w:sz w:val="18"/>
                <w:szCs w:val="18"/>
                <w:lang w:eastAsia="zh-CN"/>
              </w:rPr>
            </w:pPr>
            <w:r w:rsidRPr="00C3597D">
              <w:rPr>
                <w:b/>
                <w:bCs/>
                <w:color w:val="FFFFFF"/>
                <w:sz w:val="18"/>
                <w:szCs w:val="18"/>
              </w:rPr>
              <w:t>England</w:t>
            </w:r>
          </w:p>
        </w:tc>
      </w:tr>
      <w:tr w:rsidR="00C3597D" w:rsidRPr="00374C95" w14:paraId="4C7506A2" w14:textId="77777777" w:rsidTr="00C3597D">
        <w:trPr>
          <w:trHeight w:val="288"/>
        </w:trPr>
        <w:tc>
          <w:tcPr>
            <w:tcW w:w="1295" w:type="pct"/>
            <w:shd w:val="clear" w:color="auto" w:fill="auto"/>
            <w:noWrap/>
            <w:vAlign w:val="center"/>
            <w:hideMark/>
          </w:tcPr>
          <w:p w14:paraId="563ADCD4" w14:textId="77777777" w:rsidR="00C3597D" w:rsidRPr="00374C95" w:rsidRDefault="00C3597D" w:rsidP="00C3597D">
            <w:pPr>
              <w:spacing w:line="240" w:lineRule="auto"/>
              <w:jc w:val="both"/>
              <w:rPr>
                <w:rFonts w:cstheme="minorHAnsi"/>
                <w:sz w:val="18"/>
                <w:szCs w:val="18"/>
                <w:lang w:eastAsia="zh-CN"/>
              </w:rPr>
            </w:pPr>
            <w:r w:rsidRPr="00374C95">
              <w:rPr>
                <w:rFonts w:cstheme="minorHAnsi"/>
                <w:sz w:val="18"/>
                <w:szCs w:val="18"/>
                <w:lang w:eastAsia="zh-CN"/>
              </w:rPr>
              <w:t>1 Room</w:t>
            </w:r>
          </w:p>
        </w:tc>
        <w:tc>
          <w:tcPr>
            <w:tcW w:w="1235" w:type="pct"/>
            <w:shd w:val="clear" w:color="auto" w:fill="auto"/>
            <w:noWrap/>
            <w:vAlign w:val="center"/>
            <w:hideMark/>
          </w:tcPr>
          <w:p w14:paraId="2B3689A8" w14:textId="79957684" w:rsidR="00C3597D" w:rsidRPr="00C3597D" w:rsidRDefault="00C3597D" w:rsidP="00C3597D">
            <w:pPr>
              <w:spacing w:line="240" w:lineRule="auto"/>
              <w:jc w:val="both"/>
              <w:rPr>
                <w:rFonts w:cstheme="minorHAnsi"/>
                <w:sz w:val="18"/>
                <w:szCs w:val="18"/>
                <w:lang w:eastAsia="zh-CN"/>
              </w:rPr>
            </w:pPr>
            <w:r w:rsidRPr="00C3597D">
              <w:rPr>
                <w:sz w:val="18"/>
                <w:szCs w:val="18"/>
              </w:rPr>
              <w:t>-46.7%</w:t>
            </w:r>
          </w:p>
        </w:tc>
        <w:tc>
          <w:tcPr>
            <w:tcW w:w="1235" w:type="pct"/>
            <w:shd w:val="clear" w:color="auto" w:fill="auto"/>
            <w:noWrap/>
            <w:vAlign w:val="center"/>
            <w:hideMark/>
          </w:tcPr>
          <w:p w14:paraId="664BC74C" w14:textId="2CD27651" w:rsidR="00C3597D" w:rsidRPr="00C3597D" w:rsidRDefault="00C3597D" w:rsidP="00C3597D">
            <w:pPr>
              <w:spacing w:line="240" w:lineRule="auto"/>
              <w:jc w:val="both"/>
              <w:rPr>
                <w:rFonts w:cstheme="minorHAnsi"/>
                <w:sz w:val="18"/>
                <w:szCs w:val="18"/>
                <w:lang w:eastAsia="zh-CN"/>
              </w:rPr>
            </w:pPr>
            <w:r w:rsidRPr="00C3597D">
              <w:rPr>
                <w:sz w:val="18"/>
                <w:szCs w:val="18"/>
              </w:rPr>
              <w:t>-27.3%</w:t>
            </w:r>
          </w:p>
        </w:tc>
        <w:tc>
          <w:tcPr>
            <w:tcW w:w="1235" w:type="pct"/>
            <w:shd w:val="clear" w:color="auto" w:fill="auto"/>
            <w:noWrap/>
            <w:vAlign w:val="center"/>
            <w:hideMark/>
          </w:tcPr>
          <w:p w14:paraId="0429A394" w14:textId="41D9B69F" w:rsidR="00C3597D" w:rsidRPr="00C3597D" w:rsidRDefault="00C3597D" w:rsidP="00C3597D">
            <w:pPr>
              <w:spacing w:line="240" w:lineRule="auto"/>
              <w:jc w:val="both"/>
              <w:rPr>
                <w:rFonts w:cstheme="minorHAnsi"/>
                <w:sz w:val="18"/>
                <w:szCs w:val="18"/>
                <w:lang w:eastAsia="zh-CN"/>
              </w:rPr>
            </w:pPr>
            <w:r w:rsidRPr="00C3597D">
              <w:rPr>
                <w:sz w:val="18"/>
                <w:szCs w:val="18"/>
              </w:rPr>
              <w:t>-5.2%</w:t>
            </w:r>
          </w:p>
        </w:tc>
      </w:tr>
      <w:tr w:rsidR="00C3597D" w:rsidRPr="00374C95" w14:paraId="65D58363" w14:textId="77777777" w:rsidTr="00C3597D">
        <w:trPr>
          <w:trHeight w:val="288"/>
        </w:trPr>
        <w:tc>
          <w:tcPr>
            <w:tcW w:w="1295" w:type="pct"/>
            <w:shd w:val="clear" w:color="auto" w:fill="auto"/>
            <w:noWrap/>
            <w:vAlign w:val="center"/>
            <w:hideMark/>
          </w:tcPr>
          <w:p w14:paraId="408C5296" w14:textId="77777777" w:rsidR="00C3597D" w:rsidRPr="00374C95" w:rsidRDefault="00C3597D" w:rsidP="00C3597D">
            <w:pPr>
              <w:spacing w:line="240" w:lineRule="auto"/>
              <w:jc w:val="both"/>
              <w:rPr>
                <w:rFonts w:cstheme="minorHAnsi"/>
                <w:sz w:val="18"/>
                <w:szCs w:val="18"/>
                <w:lang w:eastAsia="zh-CN"/>
              </w:rPr>
            </w:pPr>
            <w:r w:rsidRPr="00374C95">
              <w:rPr>
                <w:rFonts w:cstheme="minorHAnsi"/>
                <w:sz w:val="18"/>
                <w:szCs w:val="18"/>
                <w:lang w:eastAsia="zh-CN"/>
              </w:rPr>
              <w:t>2 Rooms</w:t>
            </w:r>
          </w:p>
        </w:tc>
        <w:tc>
          <w:tcPr>
            <w:tcW w:w="1235" w:type="pct"/>
            <w:shd w:val="clear" w:color="auto" w:fill="auto"/>
            <w:noWrap/>
            <w:vAlign w:val="center"/>
            <w:hideMark/>
          </w:tcPr>
          <w:p w14:paraId="6249273F" w14:textId="22056989" w:rsidR="00C3597D" w:rsidRPr="00C3597D" w:rsidRDefault="00C3597D" w:rsidP="00C3597D">
            <w:pPr>
              <w:spacing w:line="240" w:lineRule="auto"/>
              <w:jc w:val="both"/>
              <w:rPr>
                <w:rFonts w:cstheme="minorHAnsi"/>
                <w:sz w:val="18"/>
                <w:szCs w:val="18"/>
                <w:lang w:eastAsia="zh-CN"/>
              </w:rPr>
            </w:pPr>
            <w:r w:rsidRPr="00C3597D">
              <w:rPr>
                <w:sz w:val="18"/>
                <w:szCs w:val="18"/>
              </w:rPr>
              <w:t>9.3%</w:t>
            </w:r>
          </w:p>
        </w:tc>
        <w:tc>
          <w:tcPr>
            <w:tcW w:w="1235" w:type="pct"/>
            <w:shd w:val="clear" w:color="auto" w:fill="auto"/>
            <w:noWrap/>
            <w:vAlign w:val="center"/>
            <w:hideMark/>
          </w:tcPr>
          <w:p w14:paraId="2B73852A" w14:textId="71169DE6" w:rsidR="00C3597D" w:rsidRPr="00C3597D" w:rsidRDefault="00C3597D" w:rsidP="00C3597D">
            <w:pPr>
              <w:spacing w:line="240" w:lineRule="auto"/>
              <w:jc w:val="both"/>
              <w:rPr>
                <w:rFonts w:cstheme="minorHAnsi"/>
                <w:sz w:val="18"/>
                <w:szCs w:val="18"/>
                <w:lang w:eastAsia="zh-CN"/>
              </w:rPr>
            </w:pPr>
            <w:r w:rsidRPr="00C3597D">
              <w:rPr>
                <w:sz w:val="18"/>
                <w:szCs w:val="18"/>
              </w:rPr>
              <w:t>13.0%</w:t>
            </w:r>
          </w:p>
        </w:tc>
        <w:tc>
          <w:tcPr>
            <w:tcW w:w="1235" w:type="pct"/>
            <w:shd w:val="clear" w:color="auto" w:fill="auto"/>
            <w:noWrap/>
            <w:vAlign w:val="center"/>
            <w:hideMark/>
          </w:tcPr>
          <w:p w14:paraId="09C8579B" w14:textId="276E9C35" w:rsidR="00C3597D" w:rsidRPr="00C3597D" w:rsidRDefault="00C3597D" w:rsidP="00C3597D">
            <w:pPr>
              <w:spacing w:line="240" w:lineRule="auto"/>
              <w:jc w:val="both"/>
              <w:rPr>
                <w:rFonts w:cstheme="minorHAnsi"/>
                <w:sz w:val="18"/>
                <w:szCs w:val="18"/>
                <w:lang w:eastAsia="zh-CN"/>
              </w:rPr>
            </w:pPr>
            <w:r w:rsidRPr="00C3597D">
              <w:rPr>
                <w:sz w:val="18"/>
                <w:szCs w:val="18"/>
              </w:rPr>
              <w:t>24.2%</w:t>
            </w:r>
          </w:p>
        </w:tc>
      </w:tr>
      <w:tr w:rsidR="00C3597D" w:rsidRPr="00374C95" w14:paraId="195A61D3" w14:textId="77777777" w:rsidTr="00C3597D">
        <w:trPr>
          <w:trHeight w:val="288"/>
        </w:trPr>
        <w:tc>
          <w:tcPr>
            <w:tcW w:w="1295" w:type="pct"/>
            <w:shd w:val="clear" w:color="auto" w:fill="auto"/>
            <w:noWrap/>
            <w:vAlign w:val="center"/>
            <w:hideMark/>
          </w:tcPr>
          <w:p w14:paraId="4B1E6201" w14:textId="77777777" w:rsidR="00C3597D" w:rsidRPr="00374C95" w:rsidRDefault="00C3597D" w:rsidP="00C3597D">
            <w:pPr>
              <w:spacing w:line="240" w:lineRule="auto"/>
              <w:jc w:val="both"/>
              <w:rPr>
                <w:rFonts w:cstheme="minorHAnsi"/>
                <w:sz w:val="18"/>
                <w:szCs w:val="18"/>
                <w:lang w:eastAsia="zh-CN"/>
              </w:rPr>
            </w:pPr>
            <w:r w:rsidRPr="00374C95">
              <w:rPr>
                <w:rFonts w:cstheme="minorHAnsi"/>
                <w:sz w:val="18"/>
                <w:szCs w:val="18"/>
                <w:lang w:eastAsia="zh-CN"/>
              </w:rPr>
              <w:t>3 Rooms</w:t>
            </w:r>
          </w:p>
        </w:tc>
        <w:tc>
          <w:tcPr>
            <w:tcW w:w="1235" w:type="pct"/>
            <w:shd w:val="clear" w:color="auto" w:fill="auto"/>
            <w:noWrap/>
            <w:vAlign w:val="center"/>
            <w:hideMark/>
          </w:tcPr>
          <w:p w14:paraId="67A28F8F" w14:textId="07F325DB" w:rsidR="00C3597D" w:rsidRPr="00C3597D" w:rsidRDefault="00C3597D" w:rsidP="00C3597D">
            <w:pPr>
              <w:spacing w:line="240" w:lineRule="auto"/>
              <w:jc w:val="both"/>
              <w:rPr>
                <w:rFonts w:cstheme="minorHAnsi"/>
                <w:sz w:val="18"/>
                <w:szCs w:val="18"/>
                <w:lang w:eastAsia="zh-CN"/>
              </w:rPr>
            </w:pPr>
            <w:r w:rsidRPr="00C3597D">
              <w:rPr>
                <w:sz w:val="18"/>
                <w:szCs w:val="18"/>
              </w:rPr>
              <w:t>21.7%</w:t>
            </w:r>
          </w:p>
        </w:tc>
        <w:tc>
          <w:tcPr>
            <w:tcW w:w="1235" w:type="pct"/>
            <w:shd w:val="clear" w:color="auto" w:fill="auto"/>
            <w:noWrap/>
            <w:vAlign w:val="center"/>
            <w:hideMark/>
          </w:tcPr>
          <w:p w14:paraId="626A60ED" w14:textId="1746AC2D" w:rsidR="00C3597D" w:rsidRPr="00C3597D" w:rsidRDefault="00C3597D" w:rsidP="00C3597D">
            <w:pPr>
              <w:spacing w:line="240" w:lineRule="auto"/>
              <w:jc w:val="both"/>
              <w:rPr>
                <w:rFonts w:cstheme="minorHAnsi"/>
                <w:sz w:val="18"/>
                <w:szCs w:val="18"/>
                <w:lang w:eastAsia="zh-CN"/>
              </w:rPr>
            </w:pPr>
            <w:r w:rsidRPr="00C3597D">
              <w:rPr>
                <w:sz w:val="18"/>
                <w:szCs w:val="18"/>
              </w:rPr>
              <w:t>19.8%</w:t>
            </w:r>
          </w:p>
        </w:tc>
        <w:tc>
          <w:tcPr>
            <w:tcW w:w="1235" w:type="pct"/>
            <w:shd w:val="clear" w:color="auto" w:fill="auto"/>
            <w:noWrap/>
            <w:vAlign w:val="center"/>
            <w:hideMark/>
          </w:tcPr>
          <w:p w14:paraId="2615473B" w14:textId="1F5B3CB6" w:rsidR="00C3597D" w:rsidRPr="00C3597D" w:rsidRDefault="00C3597D" w:rsidP="00C3597D">
            <w:pPr>
              <w:spacing w:line="240" w:lineRule="auto"/>
              <w:jc w:val="both"/>
              <w:rPr>
                <w:rFonts w:cstheme="minorHAnsi"/>
                <w:sz w:val="18"/>
                <w:szCs w:val="18"/>
                <w:lang w:eastAsia="zh-CN"/>
              </w:rPr>
            </w:pPr>
            <w:r w:rsidRPr="00C3597D">
              <w:rPr>
                <w:sz w:val="18"/>
                <w:szCs w:val="18"/>
              </w:rPr>
              <w:t>20.4%</w:t>
            </w:r>
          </w:p>
        </w:tc>
      </w:tr>
      <w:tr w:rsidR="00C3597D" w:rsidRPr="00374C95" w14:paraId="31F627D6" w14:textId="77777777" w:rsidTr="00C3597D">
        <w:trPr>
          <w:trHeight w:val="288"/>
        </w:trPr>
        <w:tc>
          <w:tcPr>
            <w:tcW w:w="1295" w:type="pct"/>
            <w:shd w:val="clear" w:color="auto" w:fill="auto"/>
            <w:noWrap/>
            <w:vAlign w:val="center"/>
            <w:hideMark/>
          </w:tcPr>
          <w:p w14:paraId="3B67A8C1" w14:textId="77777777" w:rsidR="00C3597D" w:rsidRPr="00374C95" w:rsidRDefault="00C3597D" w:rsidP="00C3597D">
            <w:pPr>
              <w:spacing w:line="240" w:lineRule="auto"/>
              <w:jc w:val="both"/>
              <w:rPr>
                <w:rFonts w:cstheme="minorHAnsi"/>
                <w:sz w:val="18"/>
                <w:szCs w:val="18"/>
                <w:lang w:eastAsia="zh-CN"/>
              </w:rPr>
            </w:pPr>
            <w:r w:rsidRPr="00374C95">
              <w:rPr>
                <w:rFonts w:cstheme="minorHAnsi"/>
                <w:sz w:val="18"/>
                <w:szCs w:val="18"/>
                <w:lang w:eastAsia="zh-CN"/>
              </w:rPr>
              <w:t>4 Rooms</w:t>
            </w:r>
          </w:p>
        </w:tc>
        <w:tc>
          <w:tcPr>
            <w:tcW w:w="1235" w:type="pct"/>
            <w:shd w:val="clear" w:color="auto" w:fill="auto"/>
            <w:noWrap/>
            <w:vAlign w:val="center"/>
            <w:hideMark/>
          </w:tcPr>
          <w:p w14:paraId="12C1CA6F" w14:textId="2522CEAD" w:rsidR="00C3597D" w:rsidRPr="00C3597D" w:rsidRDefault="00C3597D" w:rsidP="00C3597D">
            <w:pPr>
              <w:spacing w:line="240" w:lineRule="auto"/>
              <w:jc w:val="both"/>
              <w:rPr>
                <w:rFonts w:cstheme="minorHAnsi"/>
                <w:sz w:val="18"/>
                <w:szCs w:val="18"/>
                <w:lang w:eastAsia="zh-CN"/>
              </w:rPr>
            </w:pPr>
            <w:r w:rsidRPr="00C3597D">
              <w:rPr>
                <w:sz w:val="18"/>
                <w:szCs w:val="18"/>
              </w:rPr>
              <w:t>1.9%</w:t>
            </w:r>
          </w:p>
        </w:tc>
        <w:tc>
          <w:tcPr>
            <w:tcW w:w="1235" w:type="pct"/>
            <w:shd w:val="clear" w:color="auto" w:fill="auto"/>
            <w:noWrap/>
            <w:vAlign w:val="center"/>
            <w:hideMark/>
          </w:tcPr>
          <w:p w14:paraId="2F7FC164" w14:textId="45D44011" w:rsidR="00C3597D" w:rsidRPr="00C3597D" w:rsidRDefault="00C3597D" w:rsidP="00C3597D">
            <w:pPr>
              <w:spacing w:line="240" w:lineRule="auto"/>
              <w:jc w:val="both"/>
              <w:rPr>
                <w:rFonts w:cstheme="minorHAnsi"/>
                <w:sz w:val="18"/>
                <w:szCs w:val="18"/>
                <w:lang w:eastAsia="zh-CN"/>
              </w:rPr>
            </w:pPr>
            <w:r w:rsidRPr="00C3597D">
              <w:rPr>
                <w:sz w:val="18"/>
                <w:szCs w:val="18"/>
              </w:rPr>
              <w:t>-2.8%</w:t>
            </w:r>
          </w:p>
        </w:tc>
        <w:tc>
          <w:tcPr>
            <w:tcW w:w="1235" w:type="pct"/>
            <w:shd w:val="clear" w:color="auto" w:fill="auto"/>
            <w:noWrap/>
            <w:vAlign w:val="center"/>
            <w:hideMark/>
          </w:tcPr>
          <w:p w14:paraId="532AF497" w14:textId="7FDAD72E" w:rsidR="00C3597D" w:rsidRPr="00C3597D" w:rsidRDefault="00C3597D" w:rsidP="00C3597D">
            <w:pPr>
              <w:spacing w:line="240" w:lineRule="auto"/>
              <w:jc w:val="both"/>
              <w:rPr>
                <w:rFonts w:cstheme="minorHAnsi"/>
                <w:sz w:val="18"/>
                <w:szCs w:val="18"/>
                <w:lang w:eastAsia="zh-CN"/>
              </w:rPr>
            </w:pPr>
            <w:r w:rsidRPr="00C3597D">
              <w:rPr>
                <w:sz w:val="18"/>
                <w:szCs w:val="18"/>
              </w:rPr>
              <w:t>3.5%</w:t>
            </w:r>
          </w:p>
        </w:tc>
      </w:tr>
      <w:tr w:rsidR="00C3597D" w:rsidRPr="00374C95" w14:paraId="6C78FA61" w14:textId="77777777" w:rsidTr="00C3597D">
        <w:trPr>
          <w:trHeight w:val="288"/>
        </w:trPr>
        <w:tc>
          <w:tcPr>
            <w:tcW w:w="1295" w:type="pct"/>
            <w:shd w:val="clear" w:color="auto" w:fill="auto"/>
            <w:noWrap/>
            <w:vAlign w:val="center"/>
            <w:hideMark/>
          </w:tcPr>
          <w:p w14:paraId="4B63148F" w14:textId="77777777" w:rsidR="00C3597D" w:rsidRPr="00374C95" w:rsidRDefault="00C3597D" w:rsidP="00C3597D">
            <w:pPr>
              <w:spacing w:line="240" w:lineRule="auto"/>
              <w:jc w:val="both"/>
              <w:rPr>
                <w:rFonts w:cstheme="minorHAnsi"/>
                <w:sz w:val="18"/>
                <w:szCs w:val="18"/>
                <w:lang w:eastAsia="zh-CN"/>
              </w:rPr>
            </w:pPr>
            <w:r w:rsidRPr="00374C95">
              <w:rPr>
                <w:rFonts w:cstheme="minorHAnsi"/>
                <w:sz w:val="18"/>
                <w:szCs w:val="18"/>
                <w:lang w:eastAsia="zh-CN"/>
              </w:rPr>
              <w:t>5 Rooms</w:t>
            </w:r>
          </w:p>
        </w:tc>
        <w:tc>
          <w:tcPr>
            <w:tcW w:w="1235" w:type="pct"/>
            <w:shd w:val="clear" w:color="auto" w:fill="auto"/>
            <w:noWrap/>
            <w:vAlign w:val="center"/>
            <w:hideMark/>
          </w:tcPr>
          <w:p w14:paraId="3318874B" w14:textId="43FD2CAA" w:rsidR="00C3597D" w:rsidRPr="00C3597D" w:rsidRDefault="00C3597D" w:rsidP="00C3597D">
            <w:pPr>
              <w:spacing w:line="240" w:lineRule="auto"/>
              <w:jc w:val="both"/>
              <w:rPr>
                <w:rFonts w:cstheme="minorHAnsi"/>
                <w:sz w:val="18"/>
                <w:szCs w:val="18"/>
                <w:lang w:eastAsia="zh-CN"/>
              </w:rPr>
            </w:pPr>
            <w:r w:rsidRPr="00C3597D">
              <w:rPr>
                <w:sz w:val="18"/>
                <w:szCs w:val="18"/>
              </w:rPr>
              <w:t>-4.0%</w:t>
            </w:r>
          </w:p>
        </w:tc>
        <w:tc>
          <w:tcPr>
            <w:tcW w:w="1235" w:type="pct"/>
            <w:shd w:val="clear" w:color="auto" w:fill="auto"/>
            <w:noWrap/>
            <w:vAlign w:val="center"/>
            <w:hideMark/>
          </w:tcPr>
          <w:p w14:paraId="4F0B1DD0" w14:textId="498B3C66" w:rsidR="00C3597D" w:rsidRPr="00C3597D" w:rsidRDefault="00C3597D" w:rsidP="00C3597D">
            <w:pPr>
              <w:spacing w:line="240" w:lineRule="auto"/>
              <w:jc w:val="both"/>
              <w:rPr>
                <w:rFonts w:cstheme="minorHAnsi"/>
                <w:sz w:val="18"/>
                <w:szCs w:val="18"/>
                <w:lang w:eastAsia="zh-CN"/>
              </w:rPr>
            </w:pPr>
            <w:r w:rsidRPr="00C3597D">
              <w:rPr>
                <w:sz w:val="18"/>
                <w:szCs w:val="18"/>
              </w:rPr>
              <w:t>-4.6%</w:t>
            </w:r>
          </w:p>
        </w:tc>
        <w:tc>
          <w:tcPr>
            <w:tcW w:w="1235" w:type="pct"/>
            <w:shd w:val="clear" w:color="auto" w:fill="auto"/>
            <w:noWrap/>
            <w:vAlign w:val="center"/>
            <w:hideMark/>
          </w:tcPr>
          <w:p w14:paraId="78839F08" w14:textId="6E1D43DA" w:rsidR="00C3597D" w:rsidRPr="00C3597D" w:rsidRDefault="00C3597D" w:rsidP="00C3597D">
            <w:pPr>
              <w:spacing w:line="240" w:lineRule="auto"/>
              <w:jc w:val="both"/>
              <w:rPr>
                <w:rFonts w:cstheme="minorHAnsi"/>
                <w:sz w:val="18"/>
                <w:szCs w:val="18"/>
                <w:lang w:eastAsia="zh-CN"/>
              </w:rPr>
            </w:pPr>
            <w:r w:rsidRPr="00C3597D">
              <w:rPr>
                <w:sz w:val="18"/>
                <w:szCs w:val="18"/>
              </w:rPr>
              <w:t>-1.8%</w:t>
            </w:r>
          </w:p>
        </w:tc>
      </w:tr>
      <w:tr w:rsidR="00C3597D" w:rsidRPr="00374C95" w14:paraId="1173FCB1" w14:textId="77777777" w:rsidTr="00C3597D">
        <w:trPr>
          <w:trHeight w:val="288"/>
        </w:trPr>
        <w:tc>
          <w:tcPr>
            <w:tcW w:w="1295" w:type="pct"/>
            <w:shd w:val="clear" w:color="auto" w:fill="auto"/>
            <w:noWrap/>
            <w:vAlign w:val="center"/>
            <w:hideMark/>
          </w:tcPr>
          <w:p w14:paraId="782A3A78" w14:textId="77777777" w:rsidR="00C3597D" w:rsidRPr="00374C95" w:rsidRDefault="00C3597D" w:rsidP="00C3597D">
            <w:pPr>
              <w:spacing w:line="240" w:lineRule="auto"/>
              <w:jc w:val="both"/>
              <w:rPr>
                <w:rFonts w:cstheme="minorHAnsi"/>
                <w:sz w:val="18"/>
                <w:szCs w:val="18"/>
                <w:lang w:eastAsia="zh-CN"/>
              </w:rPr>
            </w:pPr>
            <w:r w:rsidRPr="00374C95">
              <w:rPr>
                <w:rFonts w:cstheme="minorHAnsi"/>
                <w:sz w:val="18"/>
                <w:szCs w:val="18"/>
                <w:lang w:eastAsia="zh-CN"/>
              </w:rPr>
              <w:t>6 Rooms</w:t>
            </w:r>
          </w:p>
        </w:tc>
        <w:tc>
          <w:tcPr>
            <w:tcW w:w="1235" w:type="pct"/>
            <w:shd w:val="clear" w:color="auto" w:fill="auto"/>
            <w:noWrap/>
            <w:vAlign w:val="center"/>
            <w:hideMark/>
          </w:tcPr>
          <w:p w14:paraId="071208B4" w14:textId="4F380CC8" w:rsidR="00C3597D" w:rsidRPr="00C3597D" w:rsidRDefault="00C3597D" w:rsidP="00C3597D">
            <w:pPr>
              <w:spacing w:line="240" w:lineRule="auto"/>
              <w:jc w:val="both"/>
              <w:rPr>
                <w:rFonts w:cstheme="minorHAnsi"/>
                <w:sz w:val="18"/>
                <w:szCs w:val="18"/>
                <w:lang w:eastAsia="zh-CN"/>
              </w:rPr>
            </w:pPr>
            <w:r w:rsidRPr="00C3597D">
              <w:rPr>
                <w:sz w:val="18"/>
                <w:szCs w:val="18"/>
              </w:rPr>
              <w:t>-0.4%</w:t>
            </w:r>
          </w:p>
        </w:tc>
        <w:tc>
          <w:tcPr>
            <w:tcW w:w="1235" w:type="pct"/>
            <w:shd w:val="clear" w:color="auto" w:fill="auto"/>
            <w:noWrap/>
            <w:vAlign w:val="center"/>
            <w:hideMark/>
          </w:tcPr>
          <w:p w14:paraId="59E4A5A6" w14:textId="5FA8ADEC" w:rsidR="00C3597D" w:rsidRPr="00C3597D" w:rsidRDefault="00C3597D" w:rsidP="00C3597D">
            <w:pPr>
              <w:spacing w:line="240" w:lineRule="auto"/>
              <w:jc w:val="both"/>
              <w:rPr>
                <w:rFonts w:cstheme="minorHAnsi"/>
                <w:sz w:val="18"/>
                <w:szCs w:val="18"/>
                <w:lang w:eastAsia="zh-CN"/>
              </w:rPr>
            </w:pPr>
            <w:r w:rsidRPr="00C3597D">
              <w:rPr>
                <w:sz w:val="18"/>
                <w:szCs w:val="18"/>
              </w:rPr>
              <w:t>8.4%</w:t>
            </w:r>
          </w:p>
        </w:tc>
        <w:tc>
          <w:tcPr>
            <w:tcW w:w="1235" w:type="pct"/>
            <w:shd w:val="clear" w:color="auto" w:fill="auto"/>
            <w:noWrap/>
            <w:vAlign w:val="center"/>
            <w:hideMark/>
          </w:tcPr>
          <w:p w14:paraId="33B3BD5A" w14:textId="5ED37134" w:rsidR="00C3597D" w:rsidRPr="00C3597D" w:rsidRDefault="00C3597D" w:rsidP="00C3597D">
            <w:pPr>
              <w:spacing w:line="240" w:lineRule="auto"/>
              <w:jc w:val="both"/>
              <w:rPr>
                <w:rFonts w:cstheme="minorHAnsi"/>
                <w:sz w:val="18"/>
                <w:szCs w:val="18"/>
                <w:lang w:eastAsia="zh-CN"/>
              </w:rPr>
            </w:pPr>
            <w:r w:rsidRPr="00C3597D">
              <w:rPr>
                <w:sz w:val="18"/>
                <w:szCs w:val="18"/>
              </w:rPr>
              <w:t>2.1%</w:t>
            </w:r>
          </w:p>
        </w:tc>
      </w:tr>
      <w:tr w:rsidR="00C3597D" w:rsidRPr="00374C95" w14:paraId="6E583464" w14:textId="77777777" w:rsidTr="00C3597D">
        <w:trPr>
          <w:trHeight w:val="288"/>
        </w:trPr>
        <w:tc>
          <w:tcPr>
            <w:tcW w:w="1295" w:type="pct"/>
            <w:shd w:val="clear" w:color="auto" w:fill="auto"/>
            <w:noWrap/>
            <w:vAlign w:val="center"/>
            <w:hideMark/>
          </w:tcPr>
          <w:p w14:paraId="29B1C15C" w14:textId="77777777" w:rsidR="00C3597D" w:rsidRPr="00374C95" w:rsidRDefault="00C3597D" w:rsidP="00C3597D">
            <w:pPr>
              <w:spacing w:line="240" w:lineRule="auto"/>
              <w:jc w:val="both"/>
              <w:rPr>
                <w:rFonts w:cstheme="minorHAnsi"/>
                <w:sz w:val="18"/>
                <w:szCs w:val="18"/>
                <w:lang w:eastAsia="zh-CN"/>
              </w:rPr>
            </w:pPr>
            <w:r w:rsidRPr="00374C95">
              <w:rPr>
                <w:rFonts w:cstheme="minorHAnsi"/>
                <w:sz w:val="18"/>
                <w:szCs w:val="18"/>
                <w:lang w:eastAsia="zh-CN"/>
              </w:rPr>
              <w:t>7 Rooms</w:t>
            </w:r>
          </w:p>
        </w:tc>
        <w:tc>
          <w:tcPr>
            <w:tcW w:w="1235" w:type="pct"/>
            <w:shd w:val="clear" w:color="auto" w:fill="auto"/>
            <w:noWrap/>
            <w:vAlign w:val="center"/>
            <w:hideMark/>
          </w:tcPr>
          <w:p w14:paraId="23539C99" w14:textId="62C9BE11" w:rsidR="00C3597D" w:rsidRPr="00C3597D" w:rsidRDefault="00C3597D" w:rsidP="00C3597D">
            <w:pPr>
              <w:spacing w:line="240" w:lineRule="auto"/>
              <w:jc w:val="both"/>
              <w:rPr>
                <w:rFonts w:cstheme="minorHAnsi"/>
                <w:sz w:val="18"/>
                <w:szCs w:val="18"/>
                <w:lang w:eastAsia="zh-CN"/>
              </w:rPr>
            </w:pPr>
            <w:r w:rsidRPr="00C3597D">
              <w:rPr>
                <w:sz w:val="18"/>
                <w:szCs w:val="18"/>
              </w:rPr>
              <w:t>15.4%</w:t>
            </w:r>
          </w:p>
        </w:tc>
        <w:tc>
          <w:tcPr>
            <w:tcW w:w="1235" w:type="pct"/>
            <w:shd w:val="clear" w:color="auto" w:fill="auto"/>
            <w:noWrap/>
            <w:vAlign w:val="center"/>
            <w:hideMark/>
          </w:tcPr>
          <w:p w14:paraId="59AB5992" w14:textId="7C5328AC" w:rsidR="00C3597D" w:rsidRPr="00C3597D" w:rsidRDefault="00C3597D" w:rsidP="00C3597D">
            <w:pPr>
              <w:spacing w:line="240" w:lineRule="auto"/>
              <w:jc w:val="both"/>
              <w:rPr>
                <w:rFonts w:cstheme="minorHAnsi"/>
                <w:sz w:val="18"/>
                <w:szCs w:val="18"/>
                <w:lang w:eastAsia="zh-CN"/>
              </w:rPr>
            </w:pPr>
            <w:r w:rsidRPr="00C3597D">
              <w:rPr>
                <w:sz w:val="18"/>
                <w:szCs w:val="18"/>
              </w:rPr>
              <w:t>20.7%</w:t>
            </w:r>
          </w:p>
        </w:tc>
        <w:tc>
          <w:tcPr>
            <w:tcW w:w="1235" w:type="pct"/>
            <w:shd w:val="clear" w:color="auto" w:fill="auto"/>
            <w:noWrap/>
            <w:vAlign w:val="center"/>
            <w:hideMark/>
          </w:tcPr>
          <w:p w14:paraId="1D981487" w14:textId="15117510" w:rsidR="00C3597D" w:rsidRPr="00C3597D" w:rsidRDefault="00C3597D" w:rsidP="00C3597D">
            <w:pPr>
              <w:spacing w:line="240" w:lineRule="auto"/>
              <w:jc w:val="both"/>
              <w:rPr>
                <w:rFonts w:cstheme="minorHAnsi"/>
                <w:sz w:val="18"/>
                <w:szCs w:val="18"/>
                <w:lang w:eastAsia="zh-CN"/>
              </w:rPr>
            </w:pPr>
            <w:r w:rsidRPr="00C3597D">
              <w:rPr>
                <w:sz w:val="18"/>
                <w:szCs w:val="18"/>
              </w:rPr>
              <w:t>17.9%</w:t>
            </w:r>
          </w:p>
        </w:tc>
      </w:tr>
      <w:tr w:rsidR="00C3597D" w:rsidRPr="00374C95" w14:paraId="7ACB3EFE" w14:textId="77777777" w:rsidTr="00C3597D">
        <w:trPr>
          <w:trHeight w:val="288"/>
        </w:trPr>
        <w:tc>
          <w:tcPr>
            <w:tcW w:w="1295" w:type="pct"/>
            <w:shd w:val="clear" w:color="auto" w:fill="auto"/>
            <w:noWrap/>
            <w:vAlign w:val="center"/>
            <w:hideMark/>
          </w:tcPr>
          <w:p w14:paraId="48DEC6C1" w14:textId="77777777" w:rsidR="00C3597D" w:rsidRPr="00374C95" w:rsidRDefault="00C3597D" w:rsidP="00C3597D">
            <w:pPr>
              <w:spacing w:line="240" w:lineRule="auto"/>
              <w:jc w:val="both"/>
              <w:rPr>
                <w:rFonts w:cstheme="minorHAnsi"/>
                <w:sz w:val="18"/>
                <w:szCs w:val="18"/>
                <w:lang w:eastAsia="zh-CN"/>
              </w:rPr>
            </w:pPr>
            <w:r w:rsidRPr="00374C95">
              <w:rPr>
                <w:rFonts w:cstheme="minorHAnsi"/>
                <w:sz w:val="18"/>
                <w:szCs w:val="18"/>
                <w:lang w:eastAsia="zh-CN"/>
              </w:rPr>
              <w:t>8 Rooms or more</w:t>
            </w:r>
          </w:p>
        </w:tc>
        <w:tc>
          <w:tcPr>
            <w:tcW w:w="1235" w:type="pct"/>
            <w:shd w:val="clear" w:color="auto" w:fill="auto"/>
            <w:noWrap/>
            <w:vAlign w:val="center"/>
            <w:hideMark/>
          </w:tcPr>
          <w:p w14:paraId="257BBFA5" w14:textId="6A67CC20" w:rsidR="00C3597D" w:rsidRPr="00C3597D" w:rsidRDefault="00C3597D" w:rsidP="00C3597D">
            <w:pPr>
              <w:spacing w:line="240" w:lineRule="auto"/>
              <w:jc w:val="both"/>
              <w:rPr>
                <w:rFonts w:cstheme="minorHAnsi"/>
                <w:sz w:val="18"/>
                <w:szCs w:val="18"/>
                <w:lang w:eastAsia="zh-CN"/>
              </w:rPr>
            </w:pPr>
            <w:r w:rsidRPr="00C3597D">
              <w:rPr>
                <w:sz w:val="18"/>
                <w:szCs w:val="18"/>
              </w:rPr>
              <w:t>22.2%</w:t>
            </w:r>
          </w:p>
        </w:tc>
        <w:tc>
          <w:tcPr>
            <w:tcW w:w="1235" w:type="pct"/>
            <w:shd w:val="clear" w:color="auto" w:fill="auto"/>
            <w:noWrap/>
            <w:vAlign w:val="center"/>
            <w:hideMark/>
          </w:tcPr>
          <w:p w14:paraId="1773D524" w14:textId="729087D6" w:rsidR="00C3597D" w:rsidRPr="00C3597D" w:rsidRDefault="00C3597D" w:rsidP="00C3597D">
            <w:pPr>
              <w:spacing w:line="240" w:lineRule="auto"/>
              <w:jc w:val="both"/>
              <w:rPr>
                <w:rFonts w:cstheme="minorHAnsi"/>
                <w:sz w:val="18"/>
                <w:szCs w:val="18"/>
                <w:lang w:eastAsia="zh-CN"/>
              </w:rPr>
            </w:pPr>
            <w:r w:rsidRPr="00C3597D">
              <w:rPr>
                <w:sz w:val="18"/>
                <w:szCs w:val="18"/>
              </w:rPr>
              <w:t>27.0%</w:t>
            </w:r>
          </w:p>
        </w:tc>
        <w:tc>
          <w:tcPr>
            <w:tcW w:w="1235" w:type="pct"/>
            <w:shd w:val="clear" w:color="auto" w:fill="auto"/>
            <w:noWrap/>
            <w:vAlign w:val="center"/>
            <w:hideMark/>
          </w:tcPr>
          <w:p w14:paraId="51C48265" w14:textId="0960F714" w:rsidR="00C3597D" w:rsidRPr="00C3597D" w:rsidRDefault="00C3597D" w:rsidP="00C3597D">
            <w:pPr>
              <w:spacing w:line="240" w:lineRule="auto"/>
              <w:jc w:val="both"/>
              <w:rPr>
                <w:rFonts w:cstheme="minorHAnsi"/>
                <w:sz w:val="18"/>
                <w:szCs w:val="18"/>
                <w:lang w:eastAsia="zh-CN"/>
              </w:rPr>
            </w:pPr>
            <w:r w:rsidRPr="00C3597D">
              <w:rPr>
                <w:sz w:val="18"/>
                <w:szCs w:val="18"/>
              </w:rPr>
              <w:t>29.8%</w:t>
            </w:r>
          </w:p>
        </w:tc>
      </w:tr>
    </w:tbl>
    <w:p w14:paraId="623CA276" w14:textId="77777777" w:rsidR="002C2D5C" w:rsidRPr="00374C95" w:rsidRDefault="002C2D5C" w:rsidP="002C2D5C">
      <w:pPr>
        <w:pStyle w:val="Source"/>
        <w:jc w:val="both"/>
        <w:rPr>
          <w:sz w:val="18"/>
          <w:szCs w:val="18"/>
          <w:lang w:val="en-GB"/>
        </w:rPr>
      </w:pPr>
      <w:r w:rsidRPr="00374C95">
        <w:rPr>
          <w:sz w:val="18"/>
          <w:szCs w:val="18"/>
          <w:lang w:val="en-GB"/>
        </w:rPr>
        <w:t>Source: ONS 2001-2011, AECOM Calculations</w:t>
      </w:r>
    </w:p>
    <w:p w14:paraId="48DE1260" w14:textId="471301A2" w:rsidR="003C50AF" w:rsidRPr="0091341B" w:rsidRDefault="001F14A3" w:rsidP="0091341B">
      <w:pPr>
        <w:pStyle w:val="ListNumber"/>
      </w:pPr>
      <w:r w:rsidRPr="0091341B">
        <w:t xml:space="preserve">LPA Annual Monitoring </w:t>
      </w:r>
      <w:r w:rsidR="003C50AF" w:rsidRPr="0091341B">
        <w:t xml:space="preserve">Report (AMR) </w:t>
      </w:r>
      <w:r w:rsidR="0091341B" w:rsidRPr="0091341B">
        <w:t xml:space="preserve">2018-19 </w:t>
      </w:r>
      <w:r w:rsidRPr="0091341B">
        <w:t>data</w:t>
      </w:r>
      <w:r w:rsidR="003C50AF" w:rsidRPr="0091341B">
        <w:t xml:space="preserve"> for West Dorset, Weymouth and Portland</w:t>
      </w:r>
      <w:r w:rsidRPr="00B05ECB">
        <w:rPr>
          <w:rStyle w:val="FootnoteReference"/>
          <w:rFonts w:ascii="Arial" w:hAnsi="Arial"/>
          <w:color w:val="000000"/>
        </w:rPr>
        <w:footnoteReference w:id="43"/>
      </w:r>
      <w:r w:rsidRPr="0091341B">
        <w:t xml:space="preserve"> </w:t>
      </w:r>
      <w:r w:rsidR="003C50AF" w:rsidRPr="0091341B">
        <w:t xml:space="preserve">unfortunately does not consistently </w:t>
      </w:r>
      <w:r w:rsidRPr="0091341B">
        <w:t xml:space="preserve">show the </w:t>
      </w:r>
      <w:r w:rsidR="003C50AF" w:rsidRPr="0091341B">
        <w:t xml:space="preserve">type and size </w:t>
      </w:r>
      <w:r w:rsidRPr="0091341B">
        <w:t xml:space="preserve">of dwellings developed in </w:t>
      </w:r>
      <w:r w:rsidR="0015105E" w:rsidRPr="0091341B">
        <w:t>Weymouth</w:t>
      </w:r>
      <w:r w:rsidRPr="0091341B">
        <w:t xml:space="preserve">. </w:t>
      </w:r>
      <w:r w:rsidR="003C50AF" w:rsidRPr="0091341B">
        <w:t xml:space="preserve">The only scheme for which the AMR 2018-19 states size and type, was a development comprising of </w:t>
      </w:r>
      <w:r w:rsidR="00B05ECB">
        <w:t>one</w:t>
      </w:r>
      <w:r w:rsidR="003C50AF" w:rsidRPr="0091341B">
        <w:t xml:space="preserve"> detached 4</w:t>
      </w:r>
      <w:r w:rsidR="00B05ECB">
        <w:t>-</w:t>
      </w:r>
      <w:r w:rsidR="003C50AF" w:rsidRPr="0091341B">
        <w:t>bedroom house</w:t>
      </w:r>
      <w:r w:rsidR="00B05ECB">
        <w:t>,</w:t>
      </w:r>
      <w:r w:rsidR="003C50AF" w:rsidRPr="0091341B">
        <w:t xml:space="preserve"> </w:t>
      </w:r>
      <w:r w:rsidR="00B05ECB">
        <w:t>six</w:t>
      </w:r>
      <w:r w:rsidR="003C50AF" w:rsidRPr="0091341B">
        <w:t xml:space="preserve"> 3</w:t>
      </w:r>
      <w:r w:rsidR="00B05ECB">
        <w:t>-</w:t>
      </w:r>
      <w:r w:rsidR="003C50AF" w:rsidRPr="0091341B">
        <w:t>bedroom flats and</w:t>
      </w:r>
      <w:r w:rsidR="00B05ECB">
        <w:t xml:space="preserve"> three</w:t>
      </w:r>
      <w:r w:rsidR="003C50AF" w:rsidRPr="0091341B">
        <w:t xml:space="preserve"> </w:t>
      </w:r>
      <w:r w:rsidR="00B05ECB">
        <w:t>2-</w:t>
      </w:r>
      <w:r w:rsidR="003C50AF" w:rsidRPr="0091341B">
        <w:t>bedroom flats</w:t>
      </w:r>
      <w:r w:rsidR="0091341B" w:rsidRPr="0091341B">
        <w:rPr>
          <w:rFonts w:eastAsiaTheme="minorHAnsi"/>
        </w:rPr>
        <w:t xml:space="preserve">. </w:t>
      </w:r>
      <w:r w:rsidR="003C50AF" w:rsidRPr="0091341B">
        <w:t>The same AMR shows a total delivery of 929 dwellings completed in the monitoring year, exceeding the annual target of 775 dwellings per annum.</w:t>
      </w:r>
    </w:p>
    <w:p w14:paraId="196EB365" w14:textId="593CAD23" w:rsidR="003C50AF" w:rsidRPr="0091341B" w:rsidRDefault="0091341B" w:rsidP="0091341B">
      <w:pPr>
        <w:pStyle w:val="ListNumber"/>
      </w:pPr>
      <w:r w:rsidRPr="0091341B">
        <w:t>The AMR 2017-18 however does include data on delivery dwelling size in Weymouth and Portland</w:t>
      </w:r>
      <w:r w:rsidR="004468B0">
        <w:t xml:space="preserve"> (however detailed by bedrooms not rooms per dwelling):</w:t>
      </w:r>
    </w:p>
    <w:p w14:paraId="454C037A" w14:textId="6CF7B5D5" w:rsidR="0091341B" w:rsidRDefault="0091341B" w:rsidP="0091341B">
      <w:pPr>
        <w:pStyle w:val="ListNumber"/>
        <w:numPr>
          <w:ilvl w:val="0"/>
          <w:numId w:val="0"/>
        </w:numPr>
        <w:ind w:left="425"/>
      </w:pPr>
      <w:r>
        <w:rPr>
          <w:noProof/>
        </w:rPr>
        <w:drawing>
          <wp:inline distT="0" distB="0" distL="0" distR="0" wp14:anchorId="47F65317" wp14:editId="7339ED10">
            <wp:extent cx="3243600" cy="343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3600" cy="3434400"/>
                    </a:xfrm>
                    <a:prstGeom prst="rect">
                      <a:avLst/>
                    </a:prstGeom>
                    <a:noFill/>
                    <a:ln>
                      <a:noFill/>
                    </a:ln>
                  </pic:spPr>
                </pic:pic>
              </a:graphicData>
            </a:graphic>
          </wp:inline>
        </w:drawing>
      </w:r>
    </w:p>
    <w:p w14:paraId="4986F34A" w14:textId="0B2719FC" w:rsidR="0091341B" w:rsidRDefault="0091341B" w:rsidP="0091341B">
      <w:pPr>
        <w:pStyle w:val="Source"/>
      </w:pPr>
      <w:r>
        <w:t>Source: E</w:t>
      </w:r>
      <w:r w:rsidRPr="0091341B">
        <w:t>xtract from AMR 2017-18, Figure 7.4: HOUS3 – All completed units mix provided 2017/18</w:t>
      </w:r>
    </w:p>
    <w:p w14:paraId="75E3D948" w14:textId="5289F2C8" w:rsidR="00171542" w:rsidRDefault="0091341B" w:rsidP="00A82210">
      <w:pPr>
        <w:pStyle w:val="ListNumber"/>
      </w:pPr>
      <w:r>
        <w:t xml:space="preserve">This shows that </w:t>
      </w:r>
      <w:bookmarkStart w:id="138" w:name="_Hlk63153321"/>
      <w:r>
        <w:t xml:space="preserve">delivery in Weymouth and Portland from 2014-2018 was mainly concentrated on </w:t>
      </w:r>
      <w:r w:rsidR="00171542">
        <w:t>2-</w:t>
      </w:r>
      <w:r>
        <w:t>3 bed houses, followed by 1</w:t>
      </w:r>
      <w:r w:rsidR="00171542">
        <w:t>-</w:t>
      </w:r>
      <w:r>
        <w:t>2 bed flats</w:t>
      </w:r>
      <w:r w:rsidR="00171542">
        <w:t xml:space="preserve"> (this includes market and affordable units)</w:t>
      </w:r>
      <w:r>
        <w:t xml:space="preserve">. </w:t>
      </w:r>
      <w:r w:rsidR="00171542">
        <w:t xml:space="preserve">The AMRs for 2012-13 and 2013-14 show a similar concentration in permissions of 2-3 bed properties in market housing, with affordable housing mainly </w:t>
      </w:r>
      <w:r w:rsidR="00B05ECB">
        <w:t>delivered</w:t>
      </w:r>
      <w:r w:rsidR="00171542">
        <w:t xml:space="preserve"> as 2 bed homes, with some 1 and 3 bed properties also being secured, but no larger units at all.</w:t>
      </w:r>
    </w:p>
    <w:p w14:paraId="4EB2AA6A" w14:textId="22E03C5C" w:rsidR="001F14A3" w:rsidRPr="00374C95" w:rsidRDefault="00171542" w:rsidP="00A82210">
      <w:pPr>
        <w:pStyle w:val="ListNumber"/>
      </w:pPr>
      <w:r>
        <w:t>This suggests that since the 2011 Census, delivery and approvals appear to have concentrated more so on smaller properties, especially in the affordable sector, which suggests that the prevalence of smaller over larger properties in Weymouth will have increased since the 2011 Census.</w:t>
      </w:r>
    </w:p>
    <w:p w14:paraId="2A479842" w14:textId="1CEE9F56" w:rsidR="00764D07" w:rsidRPr="00374C95" w:rsidRDefault="001F14A3" w:rsidP="00D1235F">
      <w:pPr>
        <w:pStyle w:val="ListNumber"/>
      </w:pPr>
      <w:bookmarkStart w:id="139" w:name="_Toc533017436"/>
      <w:bookmarkStart w:id="140" w:name="_Toc536797448"/>
      <w:bookmarkEnd w:id="138"/>
      <w:r w:rsidRPr="00374C95">
        <w:t>Returning to the most recent Census data,</w:t>
      </w:r>
      <w:r w:rsidR="002C2D5C" w:rsidRPr="00374C95">
        <w:t xml:space="preserve"> it is also useful to compare the </w:t>
      </w:r>
      <w:r w:rsidRPr="00374C95">
        <w:t>figures for number</w:t>
      </w:r>
      <w:r w:rsidR="002C2D5C" w:rsidRPr="00374C95">
        <w:t xml:space="preserve"> of </w:t>
      </w:r>
      <w:r w:rsidR="002C2D5C" w:rsidRPr="00374C95">
        <w:rPr>
          <w:u w:val="single"/>
        </w:rPr>
        <w:t>rooms</w:t>
      </w:r>
      <w:r w:rsidR="002C2D5C" w:rsidRPr="00374C95">
        <w:t xml:space="preserve"> with </w:t>
      </w:r>
      <w:r w:rsidR="002E4175" w:rsidRPr="00374C95">
        <w:t xml:space="preserve">figures for </w:t>
      </w:r>
      <w:r w:rsidR="002C2D5C" w:rsidRPr="00374C95">
        <w:t xml:space="preserve">the number of </w:t>
      </w:r>
      <w:r w:rsidR="002C2D5C" w:rsidRPr="00374C95">
        <w:rPr>
          <w:u w:val="single"/>
        </w:rPr>
        <w:t>bedrooms</w:t>
      </w:r>
      <w:r w:rsidR="002C2D5C" w:rsidRPr="00374C95">
        <w:t xml:space="preserve"> for each household</w:t>
      </w:r>
      <w:r w:rsidR="004468B0">
        <w:t xml:space="preserve"> (the latter being the same measure as used in the AMRs)</w:t>
      </w:r>
      <w:r w:rsidR="002C2D5C" w:rsidRPr="00374C95">
        <w:t xml:space="preserve">. </w:t>
      </w:r>
      <w:r w:rsidR="002C2D5C" w:rsidRPr="00374C95">
        <w:fldChar w:fldCharType="begin"/>
      </w:r>
      <w:r w:rsidR="002C2D5C" w:rsidRPr="00374C95">
        <w:instrText xml:space="preserve"> REF _Ref2877767 \h  \* MERGEFORMAT </w:instrText>
      </w:r>
      <w:r w:rsidR="002C2D5C" w:rsidRPr="00374C95">
        <w:fldChar w:fldCharType="separate"/>
      </w:r>
      <w:r w:rsidR="00603781" w:rsidRPr="002D4F56">
        <w:t xml:space="preserve">Table </w:t>
      </w:r>
      <w:r w:rsidR="00603781">
        <w:rPr>
          <w:noProof/>
        </w:rPr>
        <w:t>5</w:t>
      </w:r>
      <w:r w:rsidR="00603781">
        <w:rPr>
          <w:noProof/>
        </w:rPr>
        <w:noBreakHyphen/>
        <w:t>4</w:t>
      </w:r>
      <w:r w:rsidR="002C2D5C" w:rsidRPr="00374C95">
        <w:fldChar w:fldCharType="end"/>
      </w:r>
      <w:r w:rsidR="002C2D5C" w:rsidRPr="00374C95">
        <w:t xml:space="preserve"> below summarises the proportion of households occupying each size of home in terms of the number of bedrooms. This </w:t>
      </w:r>
      <w:r w:rsidR="00764D07" w:rsidRPr="00374C95">
        <w:t>data shows that</w:t>
      </w:r>
      <w:r w:rsidR="002C2D5C" w:rsidRPr="00374C95">
        <w:t xml:space="preserve"> </w:t>
      </w:r>
      <w:bookmarkStart w:id="141" w:name="_Hlk63153486"/>
      <w:r w:rsidR="00D1235F">
        <w:t xml:space="preserve">most homes in Weymouth, as in Dorset, have </w:t>
      </w:r>
      <w:r w:rsidR="00806558">
        <w:t>2-4</w:t>
      </w:r>
      <w:r w:rsidR="00D1235F">
        <w:t xml:space="preserve"> bedrooms</w:t>
      </w:r>
      <w:r w:rsidR="00806558">
        <w:t xml:space="preserve">, </w:t>
      </w:r>
      <w:r w:rsidR="00DC31C8">
        <w:t>with the most prevalent size being 3 bedrooms in both</w:t>
      </w:r>
      <w:r w:rsidR="002C2D5C" w:rsidRPr="00374C95">
        <w:t>.</w:t>
      </w:r>
      <w:r w:rsidR="00DC31C8">
        <w:t xml:space="preserve"> Weymouth shows slightly </w:t>
      </w:r>
      <w:r w:rsidR="00B05ECB">
        <w:t>higher</w:t>
      </w:r>
      <w:r w:rsidR="00DC31C8">
        <w:t xml:space="preserve"> percentages again of the smaller properties with 1 and 2 bedrooms than Dorset and lower percentages of large properties of 4+ beds.</w:t>
      </w:r>
      <w:bookmarkEnd w:id="141"/>
    </w:p>
    <w:p w14:paraId="4589D30A" w14:textId="598EFEC9" w:rsidR="002C2D5C" w:rsidRPr="002D4F56" w:rsidRDefault="002C2D5C" w:rsidP="002C2D5C">
      <w:pPr>
        <w:pStyle w:val="Caption"/>
        <w:jc w:val="both"/>
        <w:rPr>
          <w:sz w:val="18"/>
          <w:szCs w:val="18"/>
        </w:rPr>
      </w:pPr>
      <w:bookmarkStart w:id="142" w:name="_Ref2877767"/>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4</w:t>
      </w:r>
      <w:r w:rsidR="00BA4C32">
        <w:rPr>
          <w:sz w:val="18"/>
          <w:szCs w:val="18"/>
        </w:rPr>
        <w:fldChar w:fldCharType="end"/>
      </w:r>
      <w:bookmarkEnd w:id="142"/>
      <w:r w:rsidRPr="002D4F56">
        <w:rPr>
          <w:sz w:val="18"/>
          <w:szCs w:val="18"/>
        </w:rPr>
        <w:t>: Number of bedrooms in household spaces</w:t>
      </w:r>
      <w:r w:rsidR="002D4F56">
        <w:rPr>
          <w:sz w:val="18"/>
          <w:szCs w:val="18"/>
        </w:rPr>
        <w:t xml:space="preserve"> in </w:t>
      </w:r>
      <w:r w:rsidR="0015105E">
        <w:rPr>
          <w:sz w:val="18"/>
          <w:szCs w:val="18"/>
        </w:rPr>
        <w:t>Weymouth</w:t>
      </w:r>
      <w:r w:rsidRPr="002D4F56">
        <w:rPr>
          <w:sz w:val="18"/>
          <w:szCs w:val="18"/>
        </w:rPr>
        <w:t>, 2011</w:t>
      </w:r>
    </w:p>
    <w:tbl>
      <w:tblPr>
        <w:tblW w:w="476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1124"/>
        <w:gridCol w:w="1126"/>
        <w:gridCol w:w="1124"/>
        <w:gridCol w:w="1126"/>
        <w:gridCol w:w="1124"/>
        <w:gridCol w:w="1118"/>
      </w:tblGrid>
      <w:tr w:rsidR="004468B0" w:rsidRPr="004468B0" w14:paraId="4738FF44" w14:textId="77777777" w:rsidTr="00C378B2">
        <w:trPr>
          <w:trHeight w:val="413"/>
        </w:trPr>
        <w:tc>
          <w:tcPr>
            <w:tcW w:w="1401" w:type="pct"/>
            <w:shd w:val="clear" w:color="auto" w:fill="000000" w:themeFill="text1"/>
            <w:vAlign w:val="center"/>
            <w:hideMark/>
          </w:tcPr>
          <w:p w14:paraId="53720651" w14:textId="77777777" w:rsidR="004468B0" w:rsidRPr="004468B0" w:rsidRDefault="004468B0" w:rsidP="004468B0">
            <w:pPr>
              <w:spacing w:line="240" w:lineRule="auto"/>
              <w:jc w:val="both"/>
              <w:rPr>
                <w:rFonts w:asciiTheme="minorHAnsi" w:hAnsiTheme="minorHAnsi" w:cstheme="minorHAnsi"/>
                <w:b/>
                <w:bCs/>
                <w:color w:val="FFFFFF" w:themeColor="background1"/>
                <w:sz w:val="18"/>
                <w:szCs w:val="18"/>
                <w:lang w:eastAsia="zh-CN"/>
              </w:rPr>
            </w:pPr>
            <w:r w:rsidRPr="004468B0">
              <w:rPr>
                <w:rFonts w:asciiTheme="minorHAnsi" w:hAnsiTheme="minorHAnsi" w:cstheme="minorHAnsi"/>
                <w:b/>
                <w:bCs/>
                <w:color w:val="FFFFFF" w:themeColor="background1"/>
                <w:sz w:val="18"/>
                <w:szCs w:val="18"/>
                <w:lang w:eastAsia="zh-CN"/>
              </w:rPr>
              <w:t>Bedrooms</w:t>
            </w:r>
          </w:p>
        </w:tc>
        <w:tc>
          <w:tcPr>
            <w:tcW w:w="1201" w:type="pct"/>
            <w:gridSpan w:val="2"/>
            <w:shd w:val="clear" w:color="auto" w:fill="000000" w:themeFill="text1"/>
            <w:vAlign w:val="center"/>
          </w:tcPr>
          <w:p w14:paraId="5869298A" w14:textId="2C12FFA2" w:rsidR="004468B0" w:rsidRPr="004468B0" w:rsidRDefault="004468B0" w:rsidP="004468B0">
            <w:pPr>
              <w:spacing w:line="240" w:lineRule="auto"/>
              <w:jc w:val="both"/>
              <w:rPr>
                <w:rFonts w:asciiTheme="minorHAnsi" w:hAnsiTheme="minorHAnsi" w:cstheme="minorHAnsi"/>
                <w:b/>
                <w:bCs/>
                <w:color w:val="FFFFFF" w:themeColor="background1"/>
                <w:sz w:val="18"/>
                <w:szCs w:val="18"/>
                <w:lang w:eastAsia="zh-CN"/>
              </w:rPr>
            </w:pPr>
            <w:r w:rsidRPr="004468B0">
              <w:rPr>
                <w:rFonts w:asciiTheme="minorHAnsi" w:hAnsiTheme="minorHAnsi" w:cstheme="minorHAnsi"/>
                <w:b/>
                <w:bCs/>
                <w:color w:val="FFFFFF"/>
                <w:sz w:val="18"/>
                <w:szCs w:val="18"/>
              </w:rPr>
              <w:t>Weymouth</w:t>
            </w:r>
          </w:p>
        </w:tc>
        <w:tc>
          <w:tcPr>
            <w:tcW w:w="1201" w:type="pct"/>
            <w:gridSpan w:val="2"/>
            <w:shd w:val="clear" w:color="auto" w:fill="000000" w:themeFill="text1"/>
            <w:vAlign w:val="center"/>
          </w:tcPr>
          <w:p w14:paraId="556B8459" w14:textId="2C1DAB3B" w:rsidR="004468B0" w:rsidRPr="004468B0" w:rsidRDefault="004468B0" w:rsidP="004468B0">
            <w:pPr>
              <w:spacing w:line="240" w:lineRule="auto"/>
              <w:jc w:val="both"/>
              <w:rPr>
                <w:rFonts w:asciiTheme="minorHAnsi" w:hAnsiTheme="minorHAnsi" w:cstheme="minorHAnsi"/>
                <w:b/>
                <w:bCs/>
                <w:color w:val="FFFFFF" w:themeColor="background1"/>
                <w:sz w:val="18"/>
                <w:szCs w:val="18"/>
                <w:lang w:eastAsia="zh-CN"/>
              </w:rPr>
            </w:pPr>
            <w:r w:rsidRPr="004468B0">
              <w:rPr>
                <w:rFonts w:asciiTheme="minorHAnsi" w:hAnsiTheme="minorHAnsi" w:cstheme="minorHAnsi"/>
                <w:b/>
                <w:bCs/>
                <w:color w:val="FFFFFF"/>
                <w:sz w:val="18"/>
                <w:szCs w:val="18"/>
              </w:rPr>
              <w:t>Dorset</w:t>
            </w:r>
            <w:r w:rsidR="0099461D">
              <w:rPr>
                <w:rStyle w:val="FootnoteReference"/>
                <w:rFonts w:cstheme="minorHAnsi"/>
                <w:b/>
                <w:bCs/>
                <w:sz w:val="18"/>
                <w:szCs w:val="18"/>
              </w:rPr>
              <w:footnoteReference w:id="44"/>
            </w:r>
          </w:p>
        </w:tc>
        <w:tc>
          <w:tcPr>
            <w:tcW w:w="1197" w:type="pct"/>
            <w:gridSpan w:val="2"/>
            <w:shd w:val="clear" w:color="auto" w:fill="000000" w:themeFill="text1"/>
            <w:vAlign w:val="center"/>
          </w:tcPr>
          <w:p w14:paraId="18C135C8" w14:textId="7E82F449" w:rsidR="004468B0" w:rsidRPr="004468B0" w:rsidRDefault="004468B0" w:rsidP="004468B0">
            <w:pPr>
              <w:spacing w:line="240" w:lineRule="auto"/>
              <w:jc w:val="both"/>
              <w:rPr>
                <w:rFonts w:asciiTheme="minorHAnsi" w:hAnsiTheme="minorHAnsi" w:cstheme="minorHAnsi"/>
                <w:b/>
                <w:bCs/>
                <w:color w:val="FFFFFF" w:themeColor="background1"/>
                <w:sz w:val="18"/>
                <w:szCs w:val="18"/>
                <w:lang w:eastAsia="zh-CN"/>
              </w:rPr>
            </w:pPr>
            <w:r w:rsidRPr="004468B0">
              <w:rPr>
                <w:rFonts w:asciiTheme="minorHAnsi" w:hAnsiTheme="minorHAnsi" w:cstheme="minorHAnsi"/>
                <w:b/>
                <w:bCs/>
                <w:color w:val="FFFFFF"/>
                <w:sz w:val="18"/>
                <w:szCs w:val="18"/>
              </w:rPr>
              <w:t>England</w:t>
            </w:r>
          </w:p>
        </w:tc>
      </w:tr>
      <w:tr w:rsidR="004468B0" w:rsidRPr="004468B0" w14:paraId="1FF614CA" w14:textId="77777777" w:rsidTr="006D237C">
        <w:trPr>
          <w:trHeight w:val="288"/>
        </w:trPr>
        <w:tc>
          <w:tcPr>
            <w:tcW w:w="1401" w:type="pct"/>
            <w:shd w:val="clear" w:color="auto" w:fill="auto"/>
            <w:noWrap/>
            <w:vAlign w:val="center"/>
            <w:hideMark/>
          </w:tcPr>
          <w:p w14:paraId="70A5A3B9" w14:textId="77777777" w:rsidR="004468B0" w:rsidRPr="004468B0" w:rsidRDefault="004468B0" w:rsidP="00832DE0">
            <w:pPr>
              <w:spacing w:line="240" w:lineRule="auto"/>
              <w:rPr>
                <w:rFonts w:asciiTheme="minorHAnsi" w:hAnsiTheme="minorHAnsi" w:cstheme="minorHAnsi"/>
                <w:b/>
                <w:sz w:val="18"/>
                <w:szCs w:val="18"/>
                <w:lang w:eastAsia="zh-CN"/>
              </w:rPr>
            </w:pPr>
            <w:r w:rsidRPr="004468B0">
              <w:rPr>
                <w:rFonts w:asciiTheme="minorHAnsi" w:hAnsiTheme="minorHAnsi" w:cstheme="minorHAnsi"/>
                <w:b/>
                <w:sz w:val="18"/>
                <w:szCs w:val="18"/>
                <w:lang w:eastAsia="zh-CN"/>
              </w:rPr>
              <w:t>All categories: no. of bedrooms</w:t>
            </w:r>
          </w:p>
        </w:tc>
        <w:tc>
          <w:tcPr>
            <w:tcW w:w="600" w:type="pct"/>
            <w:shd w:val="clear" w:color="auto" w:fill="auto"/>
            <w:noWrap/>
            <w:vAlign w:val="center"/>
          </w:tcPr>
          <w:p w14:paraId="1D86F01D" w14:textId="1A16A9D2" w:rsidR="004468B0" w:rsidRPr="004468B0" w:rsidRDefault="004468B0" w:rsidP="004468B0">
            <w:pPr>
              <w:spacing w:line="240" w:lineRule="auto"/>
              <w:jc w:val="both"/>
              <w:rPr>
                <w:rFonts w:asciiTheme="minorHAnsi" w:hAnsiTheme="minorHAnsi" w:cstheme="minorHAnsi"/>
                <w:b/>
                <w:sz w:val="18"/>
                <w:szCs w:val="18"/>
                <w:lang w:eastAsia="zh-CN"/>
              </w:rPr>
            </w:pPr>
            <w:r w:rsidRPr="004468B0">
              <w:rPr>
                <w:rFonts w:asciiTheme="minorHAnsi" w:hAnsiTheme="minorHAnsi" w:cstheme="minorHAnsi"/>
                <w:sz w:val="18"/>
                <w:szCs w:val="18"/>
              </w:rPr>
              <w:t>23,360</w:t>
            </w:r>
          </w:p>
        </w:tc>
        <w:tc>
          <w:tcPr>
            <w:tcW w:w="601" w:type="pct"/>
            <w:shd w:val="clear" w:color="auto" w:fill="auto"/>
            <w:noWrap/>
            <w:vAlign w:val="center"/>
          </w:tcPr>
          <w:p w14:paraId="5CB63E68" w14:textId="57F92BEC" w:rsidR="004468B0" w:rsidRPr="004468B0" w:rsidRDefault="004468B0" w:rsidP="004468B0">
            <w:pPr>
              <w:spacing w:line="240" w:lineRule="auto"/>
              <w:jc w:val="both"/>
              <w:rPr>
                <w:rFonts w:asciiTheme="minorHAnsi" w:hAnsiTheme="minorHAnsi" w:cstheme="minorHAnsi"/>
                <w:b/>
                <w:sz w:val="18"/>
                <w:szCs w:val="18"/>
                <w:lang w:eastAsia="zh-CN"/>
              </w:rPr>
            </w:pPr>
            <w:r w:rsidRPr="004468B0">
              <w:rPr>
                <w:rFonts w:asciiTheme="minorHAnsi" w:hAnsiTheme="minorHAnsi" w:cstheme="minorHAnsi"/>
                <w:b/>
                <w:bCs/>
                <w:sz w:val="18"/>
                <w:szCs w:val="18"/>
              </w:rPr>
              <w:t>100.0%</w:t>
            </w:r>
          </w:p>
        </w:tc>
        <w:tc>
          <w:tcPr>
            <w:tcW w:w="600" w:type="pct"/>
            <w:shd w:val="clear" w:color="auto" w:fill="auto"/>
            <w:noWrap/>
            <w:vAlign w:val="center"/>
          </w:tcPr>
          <w:p w14:paraId="56850C9F" w14:textId="4390F047" w:rsidR="004468B0" w:rsidRPr="004468B0" w:rsidRDefault="004468B0" w:rsidP="004468B0">
            <w:pPr>
              <w:spacing w:line="240" w:lineRule="auto"/>
              <w:jc w:val="both"/>
              <w:rPr>
                <w:rFonts w:asciiTheme="minorHAnsi" w:hAnsiTheme="minorHAnsi" w:cstheme="minorHAnsi"/>
                <w:b/>
                <w:sz w:val="18"/>
                <w:szCs w:val="18"/>
                <w:lang w:eastAsia="zh-CN"/>
              </w:rPr>
            </w:pPr>
            <w:r w:rsidRPr="004468B0">
              <w:rPr>
                <w:rFonts w:asciiTheme="minorHAnsi" w:hAnsiTheme="minorHAnsi" w:cstheme="minorHAnsi"/>
                <w:sz w:val="18"/>
                <w:szCs w:val="18"/>
              </w:rPr>
              <w:t>180,213</w:t>
            </w:r>
          </w:p>
        </w:tc>
        <w:tc>
          <w:tcPr>
            <w:tcW w:w="601" w:type="pct"/>
            <w:shd w:val="clear" w:color="auto" w:fill="auto"/>
            <w:noWrap/>
            <w:vAlign w:val="center"/>
          </w:tcPr>
          <w:p w14:paraId="49421EBB" w14:textId="0BD9414E" w:rsidR="004468B0" w:rsidRPr="004468B0" w:rsidRDefault="004468B0" w:rsidP="004468B0">
            <w:pPr>
              <w:spacing w:line="240" w:lineRule="auto"/>
              <w:jc w:val="both"/>
              <w:rPr>
                <w:rFonts w:asciiTheme="minorHAnsi" w:hAnsiTheme="minorHAnsi" w:cstheme="minorHAnsi"/>
                <w:b/>
                <w:sz w:val="18"/>
                <w:szCs w:val="18"/>
                <w:lang w:eastAsia="zh-CN"/>
              </w:rPr>
            </w:pPr>
            <w:r w:rsidRPr="004468B0">
              <w:rPr>
                <w:rFonts w:asciiTheme="minorHAnsi" w:hAnsiTheme="minorHAnsi" w:cstheme="minorHAnsi"/>
                <w:b/>
                <w:bCs/>
                <w:sz w:val="18"/>
                <w:szCs w:val="18"/>
              </w:rPr>
              <w:t>100.0%</w:t>
            </w:r>
          </w:p>
        </w:tc>
        <w:tc>
          <w:tcPr>
            <w:tcW w:w="600" w:type="pct"/>
            <w:vAlign w:val="center"/>
          </w:tcPr>
          <w:p w14:paraId="08A1C627" w14:textId="43D4F707" w:rsidR="004468B0" w:rsidRPr="004468B0" w:rsidRDefault="004468B0" w:rsidP="004468B0">
            <w:pPr>
              <w:spacing w:line="240" w:lineRule="auto"/>
              <w:jc w:val="both"/>
              <w:rPr>
                <w:rFonts w:asciiTheme="minorHAnsi" w:hAnsiTheme="minorHAnsi" w:cstheme="minorHAnsi"/>
                <w:b/>
                <w:sz w:val="18"/>
                <w:szCs w:val="18"/>
                <w:lang w:eastAsia="zh-CN"/>
              </w:rPr>
            </w:pPr>
            <w:r w:rsidRPr="004468B0">
              <w:rPr>
                <w:rFonts w:asciiTheme="minorHAnsi" w:hAnsiTheme="minorHAnsi" w:cstheme="minorHAnsi"/>
                <w:b/>
                <w:bCs/>
                <w:sz w:val="18"/>
                <w:szCs w:val="18"/>
              </w:rPr>
              <w:t>22,063,368</w:t>
            </w:r>
          </w:p>
        </w:tc>
        <w:tc>
          <w:tcPr>
            <w:tcW w:w="597" w:type="pct"/>
            <w:shd w:val="clear" w:color="auto" w:fill="auto"/>
            <w:noWrap/>
            <w:vAlign w:val="center"/>
          </w:tcPr>
          <w:p w14:paraId="413B6DF5" w14:textId="43E5C965" w:rsidR="004468B0" w:rsidRPr="004468B0" w:rsidRDefault="004468B0" w:rsidP="004468B0">
            <w:pPr>
              <w:spacing w:line="240" w:lineRule="auto"/>
              <w:jc w:val="both"/>
              <w:rPr>
                <w:rFonts w:asciiTheme="minorHAnsi" w:hAnsiTheme="minorHAnsi" w:cstheme="minorHAnsi"/>
                <w:b/>
                <w:sz w:val="18"/>
                <w:szCs w:val="18"/>
                <w:lang w:eastAsia="zh-CN"/>
              </w:rPr>
            </w:pPr>
            <w:r w:rsidRPr="004468B0">
              <w:rPr>
                <w:rFonts w:asciiTheme="minorHAnsi" w:hAnsiTheme="minorHAnsi" w:cstheme="minorHAnsi"/>
                <w:b/>
                <w:bCs/>
                <w:sz w:val="18"/>
                <w:szCs w:val="18"/>
              </w:rPr>
              <w:t>100.0%</w:t>
            </w:r>
          </w:p>
        </w:tc>
      </w:tr>
      <w:tr w:rsidR="004468B0" w:rsidRPr="004468B0" w14:paraId="31491814" w14:textId="77777777" w:rsidTr="006D237C">
        <w:trPr>
          <w:trHeight w:val="288"/>
        </w:trPr>
        <w:tc>
          <w:tcPr>
            <w:tcW w:w="1401" w:type="pct"/>
            <w:shd w:val="clear" w:color="auto" w:fill="auto"/>
            <w:noWrap/>
            <w:vAlign w:val="center"/>
            <w:hideMark/>
          </w:tcPr>
          <w:p w14:paraId="3E88597B" w14:textId="7777777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lang w:eastAsia="zh-CN"/>
              </w:rPr>
              <w:t>No. bedrooms</w:t>
            </w:r>
          </w:p>
        </w:tc>
        <w:tc>
          <w:tcPr>
            <w:tcW w:w="600" w:type="pct"/>
            <w:shd w:val="clear" w:color="auto" w:fill="auto"/>
            <w:noWrap/>
            <w:vAlign w:val="center"/>
          </w:tcPr>
          <w:p w14:paraId="0FDDA432" w14:textId="08D10114"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52</w:t>
            </w:r>
          </w:p>
        </w:tc>
        <w:tc>
          <w:tcPr>
            <w:tcW w:w="601" w:type="pct"/>
            <w:shd w:val="clear" w:color="auto" w:fill="auto"/>
            <w:noWrap/>
            <w:vAlign w:val="center"/>
          </w:tcPr>
          <w:p w14:paraId="44F0C3D7" w14:textId="4027DAC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0.2%</w:t>
            </w:r>
          </w:p>
        </w:tc>
        <w:tc>
          <w:tcPr>
            <w:tcW w:w="600" w:type="pct"/>
            <w:shd w:val="clear" w:color="auto" w:fill="auto"/>
            <w:noWrap/>
            <w:vAlign w:val="center"/>
          </w:tcPr>
          <w:p w14:paraId="6395F95A" w14:textId="403F910F"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343</w:t>
            </w:r>
          </w:p>
        </w:tc>
        <w:tc>
          <w:tcPr>
            <w:tcW w:w="601" w:type="pct"/>
            <w:shd w:val="clear" w:color="auto" w:fill="auto"/>
            <w:noWrap/>
            <w:vAlign w:val="center"/>
          </w:tcPr>
          <w:p w14:paraId="0B8BE144" w14:textId="3B5FA0A5"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0.2%</w:t>
            </w:r>
          </w:p>
        </w:tc>
        <w:tc>
          <w:tcPr>
            <w:tcW w:w="600" w:type="pct"/>
            <w:vAlign w:val="center"/>
          </w:tcPr>
          <w:p w14:paraId="104DB2F1" w14:textId="1F347B3B"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54,938</w:t>
            </w:r>
          </w:p>
        </w:tc>
        <w:tc>
          <w:tcPr>
            <w:tcW w:w="597" w:type="pct"/>
            <w:shd w:val="clear" w:color="auto" w:fill="auto"/>
            <w:noWrap/>
            <w:vAlign w:val="center"/>
          </w:tcPr>
          <w:p w14:paraId="0FD674BC" w14:textId="2D117CD0"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0.2%</w:t>
            </w:r>
          </w:p>
        </w:tc>
      </w:tr>
      <w:tr w:rsidR="004468B0" w:rsidRPr="004468B0" w14:paraId="1C527729" w14:textId="77777777" w:rsidTr="006D237C">
        <w:trPr>
          <w:trHeight w:val="288"/>
        </w:trPr>
        <w:tc>
          <w:tcPr>
            <w:tcW w:w="1401" w:type="pct"/>
            <w:shd w:val="clear" w:color="auto" w:fill="auto"/>
            <w:noWrap/>
            <w:vAlign w:val="center"/>
            <w:hideMark/>
          </w:tcPr>
          <w:p w14:paraId="5C2D918E" w14:textId="7777777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lang w:eastAsia="zh-CN"/>
              </w:rPr>
              <w:t>1 bedroom</w:t>
            </w:r>
          </w:p>
        </w:tc>
        <w:tc>
          <w:tcPr>
            <w:tcW w:w="600" w:type="pct"/>
            <w:shd w:val="clear" w:color="auto" w:fill="auto"/>
            <w:noWrap/>
            <w:vAlign w:val="center"/>
          </w:tcPr>
          <w:p w14:paraId="5B35C9B4" w14:textId="4E869779"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3,096</w:t>
            </w:r>
          </w:p>
        </w:tc>
        <w:tc>
          <w:tcPr>
            <w:tcW w:w="601" w:type="pct"/>
            <w:shd w:val="clear" w:color="auto" w:fill="auto"/>
            <w:noWrap/>
            <w:vAlign w:val="center"/>
          </w:tcPr>
          <w:p w14:paraId="3987E56B" w14:textId="3EECC9BA"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13.3%</w:t>
            </w:r>
          </w:p>
        </w:tc>
        <w:tc>
          <w:tcPr>
            <w:tcW w:w="600" w:type="pct"/>
            <w:shd w:val="clear" w:color="auto" w:fill="auto"/>
            <w:noWrap/>
            <w:vAlign w:val="center"/>
          </w:tcPr>
          <w:p w14:paraId="2D790A58" w14:textId="33B8134D"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15,687</w:t>
            </w:r>
          </w:p>
        </w:tc>
        <w:tc>
          <w:tcPr>
            <w:tcW w:w="601" w:type="pct"/>
            <w:shd w:val="clear" w:color="auto" w:fill="auto"/>
            <w:noWrap/>
            <w:vAlign w:val="center"/>
          </w:tcPr>
          <w:p w14:paraId="178EAEF5" w14:textId="3DBE3C76"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8.7%</w:t>
            </w:r>
          </w:p>
        </w:tc>
        <w:tc>
          <w:tcPr>
            <w:tcW w:w="600" w:type="pct"/>
            <w:vAlign w:val="center"/>
          </w:tcPr>
          <w:p w14:paraId="57DAB070" w14:textId="2F9F63D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2,593,893</w:t>
            </w:r>
          </w:p>
        </w:tc>
        <w:tc>
          <w:tcPr>
            <w:tcW w:w="597" w:type="pct"/>
            <w:shd w:val="clear" w:color="auto" w:fill="auto"/>
            <w:noWrap/>
            <w:vAlign w:val="center"/>
          </w:tcPr>
          <w:p w14:paraId="7BAFA4CE" w14:textId="14BFE6B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11.8%</w:t>
            </w:r>
          </w:p>
        </w:tc>
      </w:tr>
      <w:tr w:rsidR="004468B0" w:rsidRPr="004468B0" w14:paraId="558A062E" w14:textId="77777777" w:rsidTr="006D237C">
        <w:trPr>
          <w:trHeight w:val="288"/>
        </w:trPr>
        <w:tc>
          <w:tcPr>
            <w:tcW w:w="1401" w:type="pct"/>
            <w:shd w:val="clear" w:color="auto" w:fill="auto"/>
            <w:noWrap/>
            <w:vAlign w:val="center"/>
            <w:hideMark/>
          </w:tcPr>
          <w:p w14:paraId="22B23158" w14:textId="7777777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lang w:eastAsia="zh-CN"/>
              </w:rPr>
              <w:t>2 bedrooms</w:t>
            </w:r>
          </w:p>
        </w:tc>
        <w:tc>
          <w:tcPr>
            <w:tcW w:w="600" w:type="pct"/>
            <w:shd w:val="clear" w:color="auto" w:fill="auto"/>
            <w:noWrap/>
            <w:vAlign w:val="center"/>
          </w:tcPr>
          <w:p w14:paraId="291BC174" w14:textId="7FB2D7D8"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6,908</w:t>
            </w:r>
          </w:p>
        </w:tc>
        <w:tc>
          <w:tcPr>
            <w:tcW w:w="601" w:type="pct"/>
            <w:shd w:val="clear" w:color="auto" w:fill="auto"/>
            <w:noWrap/>
            <w:vAlign w:val="center"/>
          </w:tcPr>
          <w:p w14:paraId="28D959BB" w14:textId="6AB8D8DE"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29.6%</w:t>
            </w:r>
          </w:p>
        </w:tc>
        <w:tc>
          <w:tcPr>
            <w:tcW w:w="600" w:type="pct"/>
            <w:shd w:val="clear" w:color="auto" w:fill="auto"/>
            <w:noWrap/>
            <w:vAlign w:val="center"/>
          </w:tcPr>
          <w:p w14:paraId="35542590" w14:textId="42BF339A"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51,104</w:t>
            </w:r>
          </w:p>
        </w:tc>
        <w:tc>
          <w:tcPr>
            <w:tcW w:w="601" w:type="pct"/>
            <w:shd w:val="clear" w:color="auto" w:fill="auto"/>
            <w:noWrap/>
            <w:vAlign w:val="center"/>
          </w:tcPr>
          <w:p w14:paraId="7831DBDA" w14:textId="699F3B0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28.4%</w:t>
            </w:r>
          </w:p>
        </w:tc>
        <w:tc>
          <w:tcPr>
            <w:tcW w:w="600" w:type="pct"/>
            <w:vAlign w:val="center"/>
          </w:tcPr>
          <w:p w14:paraId="2BCC3288" w14:textId="02533198"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6,145,083</w:t>
            </w:r>
          </w:p>
        </w:tc>
        <w:tc>
          <w:tcPr>
            <w:tcW w:w="597" w:type="pct"/>
            <w:shd w:val="clear" w:color="auto" w:fill="auto"/>
            <w:noWrap/>
            <w:vAlign w:val="center"/>
          </w:tcPr>
          <w:p w14:paraId="53BB5A74" w14:textId="0965E0AD"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27.9%</w:t>
            </w:r>
          </w:p>
        </w:tc>
      </w:tr>
      <w:tr w:rsidR="004468B0" w:rsidRPr="004468B0" w14:paraId="7FAEFF58" w14:textId="77777777" w:rsidTr="006D237C">
        <w:trPr>
          <w:trHeight w:val="288"/>
        </w:trPr>
        <w:tc>
          <w:tcPr>
            <w:tcW w:w="1401" w:type="pct"/>
            <w:shd w:val="clear" w:color="auto" w:fill="auto"/>
            <w:noWrap/>
            <w:vAlign w:val="center"/>
            <w:hideMark/>
          </w:tcPr>
          <w:p w14:paraId="2B1BFE16" w14:textId="7777777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lang w:eastAsia="zh-CN"/>
              </w:rPr>
              <w:t>3 bedrooms</w:t>
            </w:r>
          </w:p>
        </w:tc>
        <w:tc>
          <w:tcPr>
            <w:tcW w:w="600" w:type="pct"/>
            <w:shd w:val="clear" w:color="auto" w:fill="auto"/>
            <w:noWrap/>
            <w:vAlign w:val="center"/>
          </w:tcPr>
          <w:p w14:paraId="6BEF50A1" w14:textId="6D7D27F5"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9,252</w:t>
            </w:r>
          </w:p>
        </w:tc>
        <w:tc>
          <w:tcPr>
            <w:tcW w:w="601" w:type="pct"/>
            <w:shd w:val="clear" w:color="auto" w:fill="auto"/>
            <w:noWrap/>
            <w:vAlign w:val="center"/>
          </w:tcPr>
          <w:p w14:paraId="56F52AFF" w14:textId="5082BDD9"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39.6%</w:t>
            </w:r>
          </w:p>
        </w:tc>
        <w:tc>
          <w:tcPr>
            <w:tcW w:w="600" w:type="pct"/>
            <w:shd w:val="clear" w:color="auto" w:fill="auto"/>
            <w:noWrap/>
            <w:vAlign w:val="center"/>
          </w:tcPr>
          <w:p w14:paraId="167F51E1" w14:textId="7865C4E4"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73,400</w:t>
            </w:r>
          </w:p>
        </w:tc>
        <w:tc>
          <w:tcPr>
            <w:tcW w:w="601" w:type="pct"/>
            <w:shd w:val="clear" w:color="auto" w:fill="auto"/>
            <w:noWrap/>
            <w:vAlign w:val="center"/>
          </w:tcPr>
          <w:p w14:paraId="2D74E507" w14:textId="6053117B"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40.7%</w:t>
            </w:r>
          </w:p>
        </w:tc>
        <w:tc>
          <w:tcPr>
            <w:tcW w:w="600" w:type="pct"/>
            <w:vAlign w:val="center"/>
          </w:tcPr>
          <w:p w14:paraId="78831189" w14:textId="3FE1D11C"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9,088,213</w:t>
            </w:r>
          </w:p>
        </w:tc>
        <w:tc>
          <w:tcPr>
            <w:tcW w:w="597" w:type="pct"/>
            <w:shd w:val="clear" w:color="auto" w:fill="auto"/>
            <w:noWrap/>
            <w:vAlign w:val="center"/>
          </w:tcPr>
          <w:p w14:paraId="5744A65C" w14:textId="43D7D9D6"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41.2%</w:t>
            </w:r>
          </w:p>
        </w:tc>
      </w:tr>
      <w:tr w:rsidR="004468B0" w:rsidRPr="004468B0" w14:paraId="7D4D2D3F" w14:textId="77777777" w:rsidTr="006D237C">
        <w:trPr>
          <w:trHeight w:val="288"/>
        </w:trPr>
        <w:tc>
          <w:tcPr>
            <w:tcW w:w="1401" w:type="pct"/>
            <w:shd w:val="clear" w:color="auto" w:fill="auto"/>
            <w:noWrap/>
            <w:vAlign w:val="center"/>
            <w:hideMark/>
          </w:tcPr>
          <w:p w14:paraId="7786D0B2" w14:textId="7777777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lang w:eastAsia="zh-CN"/>
              </w:rPr>
              <w:t>4 bedrooms</w:t>
            </w:r>
          </w:p>
        </w:tc>
        <w:tc>
          <w:tcPr>
            <w:tcW w:w="600" w:type="pct"/>
            <w:shd w:val="clear" w:color="auto" w:fill="auto"/>
            <w:noWrap/>
            <w:vAlign w:val="center"/>
          </w:tcPr>
          <w:p w14:paraId="0A013514" w14:textId="29E2BE60"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3,167</w:t>
            </w:r>
          </w:p>
        </w:tc>
        <w:tc>
          <w:tcPr>
            <w:tcW w:w="601" w:type="pct"/>
            <w:shd w:val="clear" w:color="auto" w:fill="auto"/>
            <w:noWrap/>
            <w:vAlign w:val="center"/>
          </w:tcPr>
          <w:p w14:paraId="6B5DEFD8" w14:textId="06CCDFFD"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13.6%</w:t>
            </w:r>
          </w:p>
        </w:tc>
        <w:tc>
          <w:tcPr>
            <w:tcW w:w="600" w:type="pct"/>
            <w:shd w:val="clear" w:color="auto" w:fill="auto"/>
            <w:noWrap/>
            <w:vAlign w:val="center"/>
          </w:tcPr>
          <w:p w14:paraId="0DC7186C" w14:textId="78BDC276"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30,476</w:t>
            </w:r>
          </w:p>
        </w:tc>
        <w:tc>
          <w:tcPr>
            <w:tcW w:w="601" w:type="pct"/>
            <w:shd w:val="clear" w:color="auto" w:fill="auto"/>
            <w:noWrap/>
            <w:vAlign w:val="center"/>
          </w:tcPr>
          <w:p w14:paraId="2A00B0E4" w14:textId="24A5FD76"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16.9%</w:t>
            </w:r>
          </w:p>
        </w:tc>
        <w:tc>
          <w:tcPr>
            <w:tcW w:w="600" w:type="pct"/>
            <w:vAlign w:val="center"/>
          </w:tcPr>
          <w:p w14:paraId="778EE381" w14:textId="1221A33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3,166,531</w:t>
            </w:r>
          </w:p>
        </w:tc>
        <w:tc>
          <w:tcPr>
            <w:tcW w:w="597" w:type="pct"/>
            <w:shd w:val="clear" w:color="auto" w:fill="auto"/>
            <w:noWrap/>
            <w:vAlign w:val="center"/>
          </w:tcPr>
          <w:p w14:paraId="3FBAD369" w14:textId="3C0944A2"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14.4%</w:t>
            </w:r>
          </w:p>
        </w:tc>
      </w:tr>
      <w:tr w:rsidR="004468B0" w:rsidRPr="004468B0" w14:paraId="25C68D92" w14:textId="77777777" w:rsidTr="006D237C">
        <w:trPr>
          <w:trHeight w:val="288"/>
        </w:trPr>
        <w:tc>
          <w:tcPr>
            <w:tcW w:w="1401" w:type="pct"/>
            <w:shd w:val="clear" w:color="auto" w:fill="auto"/>
            <w:noWrap/>
            <w:vAlign w:val="center"/>
            <w:hideMark/>
          </w:tcPr>
          <w:p w14:paraId="14CDBC61" w14:textId="77777777"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lang w:eastAsia="zh-CN"/>
              </w:rPr>
              <w:t>5 or more bedrooms</w:t>
            </w:r>
          </w:p>
        </w:tc>
        <w:tc>
          <w:tcPr>
            <w:tcW w:w="600" w:type="pct"/>
            <w:shd w:val="clear" w:color="auto" w:fill="auto"/>
            <w:noWrap/>
            <w:vAlign w:val="center"/>
          </w:tcPr>
          <w:p w14:paraId="33C09DB2" w14:textId="31097A09"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885</w:t>
            </w:r>
          </w:p>
        </w:tc>
        <w:tc>
          <w:tcPr>
            <w:tcW w:w="601" w:type="pct"/>
            <w:shd w:val="clear" w:color="auto" w:fill="auto"/>
            <w:noWrap/>
            <w:vAlign w:val="center"/>
          </w:tcPr>
          <w:p w14:paraId="7F6E81F0" w14:textId="0CB95E1A"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3.8%</w:t>
            </w:r>
          </w:p>
        </w:tc>
        <w:tc>
          <w:tcPr>
            <w:tcW w:w="600" w:type="pct"/>
            <w:shd w:val="clear" w:color="auto" w:fill="auto"/>
            <w:noWrap/>
            <w:vAlign w:val="center"/>
          </w:tcPr>
          <w:p w14:paraId="4D7BD0F1" w14:textId="6230C476"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9,203</w:t>
            </w:r>
          </w:p>
        </w:tc>
        <w:tc>
          <w:tcPr>
            <w:tcW w:w="601" w:type="pct"/>
            <w:shd w:val="clear" w:color="auto" w:fill="auto"/>
            <w:noWrap/>
            <w:vAlign w:val="center"/>
          </w:tcPr>
          <w:p w14:paraId="220B9807" w14:textId="57B160C5"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5.1%</w:t>
            </w:r>
          </w:p>
        </w:tc>
        <w:tc>
          <w:tcPr>
            <w:tcW w:w="600" w:type="pct"/>
            <w:vAlign w:val="center"/>
          </w:tcPr>
          <w:p w14:paraId="31D3FC4A" w14:textId="353D423C"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1,014,710</w:t>
            </w:r>
          </w:p>
        </w:tc>
        <w:tc>
          <w:tcPr>
            <w:tcW w:w="597" w:type="pct"/>
            <w:shd w:val="clear" w:color="auto" w:fill="auto"/>
            <w:noWrap/>
            <w:vAlign w:val="center"/>
          </w:tcPr>
          <w:p w14:paraId="2C82821E" w14:textId="726727B0" w:rsidR="004468B0" w:rsidRPr="004468B0" w:rsidRDefault="004468B0" w:rsidP="004468B0">
            <w:pPr>
              <w:spacing w:line="240" w:lineRule="auto"/>
              <w:jc w:val="both"/>
              <w:rPr>
                <w:rFonts w:asciiTheme="minorHAnsi" w:hAnsiTheme="minorHAnsi" w:cstheme="minorHAnsi"/>
                <w:sz w:val="18"/>
                <w:szCs w:val="18"/>
                <w:lang w:eastAsia="zh-CN"/>
              </w:rPr>
            </w:pPr>
            <w:r w:rsidRPr="004468B0">
              <w:rPr>
                <w:rFonts w:asciiTheme="minorHAnsi" w:hAnsiTheme="minorHAnsi" w:cstheme="minorHAnsi"/>
                <w:sz w:val="18"/>
                <w:szCs w:val="18"/>
              </w:rPr>
              <w:t>4.6%</w:t>
            </w:r>
          </w:p>
        </w:tc>
      </w:tr>
    </w:tbl>
    <w:p w14:paraId="4D31D741" w14:textId="77777777" w:rsidR="002C2D5C" w:rsidRPr="00BB2C77" w:rsidRDefault="002C2D5C" w:rsidP="002C2D5C">
      <w:pPr>
        <w:pStyle w:val="Source"/>
        <w:jc w:val="both"/>
        <w:rPr>
          <w:lang w:val="en-GB"/>
        </w:rPr>
      </w:pPr>
      <w:r w:rsidRPr="00BB2C77">
        <w:rPr>
          <w:lang w:val="en-GB"/>
        </w:rPr>
        <w:t>Source: ONS 2011, AECOM Calculations</w:t>
      </w:r>
    </w:p>
    <w:p w14:paraId="5A8DA904" w14:textId="77777777" w:rsidR="007B07D3" w:rsidRDefault="007B07D3" w:rsidP="007B07D3">
      <w:pPr>
        <w:pStyle w:val="Heading2"/>
        <w:jc w:val="both"/>
      </w:pPr>
      <w:bookmarkStart w:id="143" w:name="_Toc64026812"/>
      <w:bookmarkStart w:id="144" w:name="_Toc4428640"/>
      <w:r>
        <w:t>SHMA findings</w:t>
      </w:r>
      <w:bookmarkEnd w:id="143"/>
    </w:p>
    <w:p w14:paraId="513BA783" w14:textId="451A531B" w:rsidR="00DC31C8" w:rsidRDefault="00DC31C8" w:rsidP="00A82210">
      <w:pPr>
        <w:pStyle w:val="ListNumber"/>
      </w:pPr>
      <w:r>
        <w:t>The SHMA again is very informative</w:t>
      </w:r>
      <w:r w:rsidR="00B05ECB">
        <w:t>, inlcuding</w:t>
      </w:r>
      <w:r>
        <w:t xml:space="preserve"> on the subject of size and type of housing</w:t>
      </w:r>
      <w:r w:rsidR="00B05ECB">
        <w:t>, as</w:t>
      </w:r>
      <w:r>
        <w:t xml:space="preserve"> its geography is so close to that of the NA</w:t>
      </w:r>
      <w:r w:rsidR="00227631">
        <w:t>:</w:t>
      </w:r>
    </w:p>
    <w:p w14:paraId="50E5CD91" w14:textId="1D99AB30" w:rsidR="00227631" w:rsidRDefault="00227631" w:rsidP="00227631">
      <w:pPr>
        <w:pStyle w:val="ListBullet"/>
      </w:pPr>
      <w:bookmarkStart w:id="145" w:name="_Hlk63153643"/>
      <w:r>
        <w:t>Since 2001 the dwelling stock had increased by 8.5%</w:t>
      </w:r>
      <w:r w:rsidR="00A01197">
        <w:t>;</w:t>
      </w:r>
    </w:p>
    <w:p w14:paraId="55E0A48B" w14:textId="1A5BD73D" w:rsidR="00227631" w:rsidRPr="00227631" w:rsidRDefault="00227631" w:rsidP="00227631">
      <w:pPr>
        <w:pStyle w:val="ListBullet"/>
      </w:pPr>
      <w:r>
        <w:t>The private rented sector has grown considerable in Weymouth and Portland since 2001 and i</w:t>
      </w:r>
      <w:r w:rsidRPr="00227631">
        <w:t>t is estimated that in Weymouth &amp; Portland in 2013 just over 50% of households in the private rented sector are supported by Housing Benefit or Local Housing Allowance, compared to around 25% nationally</w:t>
      </w:r>
      <w:r w:rsidR="00A01197">
        <w:t>;</w:t>
      </w:r>
      <w:r w:rsidRPr="00227631">
        <w:t xml:space="preserve"> </w:t>
      </w:r>
    </w:p>
    <w:p w14:paraId="65A95C7B" w14:textId="718C16B2" w:rsidR="00227631" w:rsidRDefault="00227631" w:rsidP="00227631">
      <w:pPr>
        <w:pStyle w:val="ListBullet"/>
      </w:pPr>
      <w:r w:rsidRPr="00227631">
        <w:t>Data shows that whilst prices have remained largely static since the economic downturn, the number of property sales has fallen dramatically</w:t>
      </w:r>
      <w:r w:rsidR="00A01197">
        <w:t>;</w:t>
      </w:r>
    </w:p>
    <w:p w14:paraId="1B924256" w14:textId="0D1CA551" w:rsidR="00227631" w:rsidRPr="00227631" w:rsidRDefault="00227631" w:rsidP="00227631">
      <w:pPr>
        <w:pStyle w:val="ListBullet"/>
      </w:pPr>
      <w:r w:rsidRPr="00227631">
        <w:t>The 2001-07 trend based projections indicate</w:t>
      </w:r>
      <w:r>
        <w:t>d</w:t>
      </w:r>
      <w:r w:rsidRPr="00227631">
        <w:t xml:space="preserve"> that whilst most household groups in Weymouth &amp; Portland will increase in number </w:t>
      </w:r>
      <w:r>
        <w:t>to</w:t>
      </w:r>
      <w:r w:rsidRPr="00227631">
        <w:t xml:space="preserve"> 2031, couple with children households are projected to fall. The largest growth will be in lone parent households</w:t>
      </w:r>
      <w:r w:rsidR="00A01197">
        <w:t>;</w:t>
      </w:r>
      <w:r w:rsidRPr="00227631">
        <w:t xml:space="preserve"> </w:t>
      </w:r>
      <w:r w:rsidR="00F05364">
        <w:t>and</w:t>
      </w:r>
    </w:p>
    <w:p w14:paraId="1F3C1507" w14:textId="14208D67" w:rsidR="00227631" w:rsidRPr="00227631" w:rsidRDefault="00227631" w:rsidP="00227631">
      <w:pPr>
        <w:pStyle w:val="ListBullet"/>
      </w:pPr>
      <w:r w:rsidRPr="00227631">
        <w:t>The model also indicate</w:t>
      </w:r>
      <w:r>
        <w:t>d</w:t>
      </w:r>
      <w:r w:rsidRPr="00227631">
        <w:t xml:space="preserve"> that new owner-occupied accommodation should principally be </w:t>
      </w:r>
      <w:r>
        <w:t>2-4</w:t>
      </w:r>
      <w:r w:rsidRPr="00227631">
        <w:t xml:space="preserve"> bedroom homes and new private rented housing should be </w:t>
      </w:r>
      <w:r>
        <w:t>1-2</w:t>
      </w:r>
      <w:r w:rsidRPr="00227631">
        <w:t xml:space="preserve"> bedroom properties.</w:t>
      </w:r>
    </w:p>
    <w:p w14:paraId="0C1BC1D1" w14:textId="77777777" w:rsidR="002C2D5C" w:rsidRPr="003A5666" w:rsidRDefault="002C2D5C" w:rsidP="002C2D5C">
      <w:pPr>
        <w:pStyle w:val="Heading2"/>
        <w:jc w:val="both"/>
      </w:pPr>
      <w:bookmarkStart w:id="146" w:name="_Toc64026813"/>
      <w:bookmarkEnd w:id="145"/>
      <w:r w:rsidRPr="003A5666">
        <w:t>Household composition and age structure</w:t>
      </w:r>
      <w:bookmarkEnd w:id="139"/>
      <w:bookmarkEnd w:id="140"/>
      <w:bookmarkEnd w:id="144"/>
      <w:bookmarkEnd w:id="146"/>
    </w:p>
    <w:p w14:paraId="1FE7234E" w14:textId="3B4700E8" w:rsidR="002C2D5C" w:rsidRPr="00764D07" w:rsidRDefault="00915935" w:rsidP="00A82210">
      <w:pPr>
        <w:pStyle w:val="ListNumber"/>
      </w:pPr>
      <w:r>
        <w:t>Having</w:t>
      </w:r>
      <w:r w:rsidR="00764D07" w:rsidRPr="00764D07">
        <w:t xml:space="preserve"> </w:t>
      </w:r>
      <w:r w:rsidR="002C2D5C" w:rsidRPr="00764D07">
        <w:t xml:space="preserve">established the current stock profile of </w:t>
      </w:r>
      <w:r w:rsidR="0015105E">
        <w:t>Weymouth</w:t>
      </w:r>
      <w:r w:rsidR="002C2D5C" w:rsidRPr="00764D07">
        <w:t xml:space="preserve"> and identified recent changes in its composition</w:t>
      </w:r>
      <w:r>
        <w:t>,</w:t>
      </w:r>
      <w:r w:rsidR="002C2D5C" w:rsidRPr="00764D07">
        <w:t xml:space="preserve"> </w:t>
      </w:r>
      <w:r>
        <w:t>t</w:t>
      </w:r>
      <w:r w:rsidR="002C2D5C" w:rsidRPr="00764D07">
        <w:t xml:space="preserve">he evidence assembled below examines the composition and age structure of households </w:t>
      </w:r>
      <w:r w:rsidR="00764D07">
        <w:t>in the 2011 Census</w:t>
      </w:r>
      <w:r w:rsidR="002C2D5C" w:rsidRPr="00764D07">
        <w:t xml:space="preserve"> and in future years. Through a consideration of the types of households </w:t>
      </w:r>
      <w:r w:rsidR="00764D07">
        <w:t>projected to form over the Neighbourhood Plan period,</w:t>
      </w:r>
      <w:r w:rsidR="002C2D5C" w:rsidRPr="00764D07">
        <w:t xml:space="preserve"> and the mix of age groups</w:t>
      </w:r>
      <w:r w:rsidR="00764D07">
        <w:t xml:space="preserve"> suggested by demographic projections, it becomes</w:t>
      </w:r>
      <w:r w:rsidR="002C2D5C" w:rsidRPr="00764D07">
        <w:t xml:space="preserve"> possible to consider the type and size of housing needed in </w:t>
      </w:r>
      <w:r w:rsidR="005F50BC">
        <w:t xml:space="preserve">the </w:t>
      </w:r>
      <w:r w:rsidR="00703761">
        <w:t xml:space="preserve">Neighbourhood </w:t>
      </w:r>
      <w:r w:rsidR="005F50BC">
        <w:t>Plan area</w:t>
      </w:r>
      <w:r w:rsidR="00F47128">
        <w:t xml:space="preserve"> by the end of the planning period</w:t>
      </w:r>
      <w:r w:rsidR="002C2D5C" w:rsidRPr="00764D07">
        <w:t>.</w:t>
      </w:r>
    </w:p>
    <w:p w14:paraId="0142198B" w14:textId="77777777" w:rsidR="002C2D5C" w:rsidRPr="0072185D" w:rsidRDefault="002C2D5C" w:rsidP="002C2D5C">
      <w:pPr>
        <w:pStyle w:val="Heading3"/>
        <w:jc w:val="both"/>
      </w:pPr>
      <w:bookmarkStart w:id="147" w:name="_Toc4428641"/>
      <w:bookmarkStart w:id="148" w:name="_Toc64026814"/>
      <w:r w:rsidRPr="0072185D">
        <w:t>Age structure</w:t>
      </w:r>
      <w:bookmarkEnd w:id="147"/>
      <w:bookmarkEnd w:id="148"/>
    </w:p>
    <w:p w14:paraId="5FDA916E" w14:textId="18FA6BDA" w:rsidR="002C2D5C" w:rsidRPr="005F50BC" w:rsidRDefault="00DF38AF" w:rsidP="00A82210">
      <w:pPr>
        <w:pStyle w:val="ListNumber"/>
      </w:pPr>
      <w:r>
        <w:t>The 2011 C</w:t>
      </w:r>
      <w:r w:rsidR="002C2D5C" w:rsidRPr="005F50BC">
        <w:t xml:space="preserve">ensus data reveals that </w:t>
      </w:r>
      <w:r w:rsidR="00FB614E">
        <w:t xml:space="preserve">Weymouth, </w:t>
      </w:r>
      <w:bookmarkStart w:id="149" w:name="_Hlk63154187"/>
      <w:r w:rsidR="00FB614E">
        <w:t>when compared to Dorset, has a similar proportion of under 25s, a slightly higher proportion of 25-44 year olds, a similar proportion of 45-64 year olds and a slightly lower proportion of older people over the age of 65.</w:t>
      </w:r>
      <w:r w:rsidR="006B5D20" w:rsidRPr="005F50BC">
        <w:t xml:space="preserve"> (see </w:t>
      </w:r>
      <w:r w:rsidR="002C2D5C" w:rsidRPr="005F50BC">
        <w:fldChar w:fldCharType="begin"/>
      </w:r>
      <w:r w:rsidR="002C2D5C" w:rsidRPr="005F50BC">
        <w:instrText xml:space="preserve"> REF _Ref2601251 \h  \* MERGEFORMAT </w:instrText>
      </w:r>
      <w:r w:rsidR="002C2D5C" w:rsidRPr="005F50BC">
        <w:fldChar w:fldCharType="separate"/>
      </w:r>
      <w:r w:rsidR="00A73A45">
        <w:t>Table</w:t>
      </w:r>
      <w:r w:rsidR="00A73A45" w:rsidRPr="002D4F56">
        <w:t xml:space="preserve"> </w:t>
      </w:r>
      <w:r w:rsidR="00A73A45">
        <w:rPr>
          <w:noProof/>
        </w:rPr>
        <w:t>5</w:t>
      </w:r>
      <w:r w:rsidR="00A73A45">
        <w:rPr>
          <w:noProof/>
        </w:rPr>
        <w:noBreakHyphen/>
        <w:t>5</w:t>
      </w:r>
      <w:r w:rsidR="002C2D5C" w:rsidRPr="005F50BC">
        <w:fldChar w:fldCharType="end"/>
      </w:r>
      <w:r w:rsidR="002C2D5C" w:rsidRPr="005F50BC">
        <w:t xml:space="preserve"> below).</w:t>
      </w:r>
      <w:r w:rsidR="00FB614E">
        <w:t xml:space="preserve"> However, the proportions of children, young and working age people are lower in Weymouth and Dorset than nationally, and the proportion of over 65s is higher.</w:t>
      </w:r>
    </w:p>
    <w:p w14:paraId="5F0A220B" w14:textId="7943127E" w:rsidR="002C2D5C" w:rsidRPr="002D4F56" w:rsidRDefault="00AF5895" w:rsidP="002C2D5C">
      <w:pPr>
        <w:pStyle w:val="Caption"/>
        <w:jc w:val="both"/>
        <w:rPr>
          <w:sz w:val="18"/>
          <w:szCs w:val="18"/>
        </w:rPr>
      </w:pPr>
      <w:bookmarkStart w:id="150" w:name="_Ref2601251"/>
      <w:bookmarkEnd w:id="149"/>
      <w:r>
        <w:rPr>
          <w:sz w:val="18"/>
          <w:szCs w:val="18"/>
        </w:rPr>
        <w:t>Table</w:t>
      </w:r>
      <w:r w:rsidR="002C2D5C" w:rsidRPr="002D4F56">
        <w:rPr>
          <w:sz w:val="18"/>
          <w:szCs w:val="18"/>
        </w:rPr>
        <w:t xml:space="preserv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603781">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603781">
        <w:rPr>
          <w:noProof/>
          <w:sz w:val="18"/>
          <w:szCs w:val="18"/>
        </w:rPr>
        <w:t>5</w:t>
      </w:r>
      <w:r w:rsidR="00BA4C32">
        <w:rPr>
          <w:sz w:val="18"/>
          <w:szCs w:val="18"/>
        </w:rPr>
        <w:fldChar w:fldCharType="end"/>
      </w:r>
      <w:bookmarkEnd w:id="150"/>
      <w:r w:rsidR="002C2D5C" w:rsidRPr="002D4F56">
        <w:rPr>
          <w:noProof/>
          <w:sz w:val="18"/>
          <w:szCs w:val="18"/>
        </w:rPr>
        <w:t>: Age structure</w:t>
      </w:r>
      <w:r w:rsidR="002D4F56">
        <w:rPr>
          <w:noProof/>
          <w:sz w:val="18"/>
          <w:szCs w:val="18"/>
        </w:rPr>
        <w:t xml:space="preserve"> in </w:t>
      </w:r>
      <w:r w:rsidR="0015105E">
        <w:rPr>
          <w:noProof/>
          <w:sz w:val="18"/>
          <w:szCs w:val="18"/>
        </w:rPr>
        <w:t>Weymouth</w:t>
      </w:r>
      <w:r w:rsidR="002C2D5C" w:rsidRPr="002D4F56">
        <w:rPr>
          <w:noProof/>
          <w:sz w:val="18"/>
          <w:szCs w:val="18"/>
        </w:rPr>
        <w:t>, 2011</w:t>
      </w:r>
    </w:p>
    <w:p w14:paraId="22C8F9AF" w14:textId="22958049" w:rsidR="002C2D5C" w:rsidRPr="00694E86" w:rsidRDefault="00FB614E" w:rsidP="00A82210">
      <w:pPr>
        <w:pStyle w:val="ListNumber"/>
        <w:numPr>
          <w:ilvl w:val="0"/>
          <w:numId w:val="0"/>
        </w:numPr>
        <w:ind w:left="425"/>
      </w:pPr>
      <w:r>
        <w:rPr>
          <w:noProof/>
        </w:rPr>
        <w:drawing>
          <wp:inline distT="0" distB="0" distL="0" distR="0" wp14:anchorId="5C673E4B" wp14:editId="2813325D">
            <wp:extent cx="6244590" cy="2367280"/>
            <wp:effectExtent l="0" t="0" r="3810" b="13970"/>
            <wp:docPr id="15" name="Chart 15">
              <a:extLst xmlns:a="http://schemas.openxmlformats.org/drawingml/2006/main">
                <a:ext uri="{FF2B5EF4-FFF2-40B4-BE49-F238E27FC236}">
                  <a16:creationId xmlns:a16="http://schemas.microsoft.com/office/drawing/2014/main" id="{80FFC437-E9EA-4D1F-B0C1-A3D2571EE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1F6174" w14:textId="77777777" w:rsidR="002C2D5C" w:rsidRDefault="002C2D5C" w:rsidP="002C2D5C">
      <w:pPr>
        <w:pStyle w:val="Source"/>
        <w:jc w:val="both"/>
        <w:rPr>
          <w:lang w:val="en-GB"/>
        </w:rPr>
      </w:pPr>
      <w:r w:rsidRPr="00B9437B">
        <w:rPr>
          <w:lang w:val="en-GB"/>
        </w:rPr>
        <w:t>Source: ONS 2011, AECOM Calculations</w:t>
      </w:r>
    </w:p>
    <w:p w14:paraId="47176A55" w14:textId="6DC8B6A0" w:rsidR="00EE1E1B" w:rsidRPr="00EE1E1B" w:rsidRDefault="00CA73BD" w:rsidP="00EE1E1B">
      <w:pPr>
        <w:pStyle w:val="ListNumber"/>
        <w:rPr>
          <w:rFonts w:asciiTheme="majorHAnsi" w:hAnsiTheme="majorHAnsi"/>
          <w:b/>
          <w:bCs/>
          <w:color w:val="00B5E2" w:themeColor="accent1"/>
        </w:rPr>
      </w:pPr>
      <w:r>
        <w:t xml:space="preserve">In terms of the changing age structure of </w:t>
      </w:r>
      <w:r w:rsidR="005F50BC">
        <w:t xml:space="preserve">the </w:t>
      </w:r>
      <w:r w:rsidR="00703761" w:rsidRPr="00EE1E1B">
        <w:rPr>
          <w:lang w:val="en-GB"/>
        </w:rPr>
        <w:t>Neighbourhood</w:t>
      </w:r>
      <w:r w:rsidR="00703761">
        <w:t xml:space="preserve"> </w:t>
      </w:r>
      <w:r w:rsidR="005F50BC">
        <w:t>Plan area</w:t>
      </w:r>
      <w:r>
        <w:t xml:space="preserve"> population, </w:t>
      </w:r>
      <w:r w:rsidR="0072185D">
        <w:t>C</w:t>
      </w:r>
      <w:r w:rsidR="002C2D5C" w:rsidRPr="0072185D">
        <w:t xml:space="preserve">ensus </w:t>
      </w:r>
      <w:r w:rsidR="0072185D">
        <w:t xml:space="preserve">data </w:t>
      </w:r>
      <w:r>
        <w:t xml:space="preserve">shows that since 2001 </w:t>
      </w:r>
      <w:r w:rsidR="006D237C">
        <w:t xml:space="preserve">the </w:t>
      </w:r>
      <w:r>
        <w:t>NA population has</w:t>
      </w:r>
      <w:r w:rsidR="002C2D5C" w:rsidRPr="00CA73BD">
        <w:t xml:space="preserve"> </w:t>
      </w:r>
      <w:r w:rsidR="00A01197">
        <w:t xml:space="preserve">seen a </w:t>
      </w:r>
      <w:r w:rsidR="00EE1E1B">
        <w:t xml:space="preserve">pronounced increase in 16-24 year olds, as well as in 46-64 year olds. Significant increases were also taking place in the over 65s (65-84 and 85 and over age groups). At the same time, there were </w:t>
      </w:r>
      <w:r w:rsidR="00A01197">
        <w:t xml:space="preserve"> </w:t>
      </w:r>
      <w:r w:rsidR="00EE1E1B">
        <w:t>decreases</w:t>
      </w:r>
      <w:r w:rsidR="00A01197">
        <w:t xml:space="preserve"> in the 25-44 year age group</w:t>
      </w:r>
      <w:r w:rsidR="00EE1E1B">
        <w:t xml:space="preserve"> and</w:t>
      </w:r>
      <w:r w:rsidR="00A01197">
        <w:t xml:space="preserve"> in 0-15 years olds</w:t>
      </w:r>
      <w:r w:rsidR="002C2D5C" w:rsidRPr="00CA73BD">
        <w:t xml:space="preserve"> (see </w:t>
      </w:r>
      <w:r w:rsidR="002C2D5C" w:rsidRPr="00CA73BD">
        <w:fldChar w:fldCharType="begin"/>
      </w:r>
      <w:r w:rsidR="002C2D5C" w:rsidRPr="00CA73BD">
        <w:instrText xml:space="preserve"> REF _Ref2601666 \h  \* MERGEFORMAT </w:instrText>
      </w:r>
      <w:r w:rsidR="002C2D5C" w:rsidRPr="00CA73BD">
        <w:fldChar w:fldCharType="separate"/>
      </w:r>
      <w:r w:rsidR="00603781" w:rsidRPr="002D4F56">
        <w:t xml:space="preserve">Table </w:t>
      </w:r>
      <w:r w:rsidR="00603781">
        <w:rPr>
          <w:noProof/>
        </w:rPr>
        <w:t>5</w:t>
      </w:r>
      <w:r w:rsidR="00603781">
        <w:rPr>
          <w:noProof/>
        </w:rPr>
        <w:noBreakHyphen/>
        <w:t>6</w:t>
      </w:r>
      <w:r w:rsidR="002C2D5C" w:rsidRPr="00CA73BD">
        <w:fldChar w:fldCharType="end"/>
      </w:r>
      <w:r w:rsidR="002C2D5C" w:rsidRPr="00CA73BD">
        <w:t xml:space="preserve"> below).</w:t>
      </w:r>
      <w:r w:rsidR="00A01197">
        <w:t xml:space="preserve"> This therefore points towards a </w:t>
      </w:r>
      <w:bookmarkStart w:id="151" w:name="_Hlk63154662"/>
      <w:r w:rsidR="00EE1E1B">
        <w:t>decline in the proportion</w:t>
      </w:r>
      <w:r w:rsidR="00A01197">
        <w:t xml:space="preserve"> of </w:t>
      </w:r>
      <w:r w:rsidR="00EE1E1B">
        <w:t xml:space="preserve">young </w:t>
      </w:r>
      <w:r w:rsidR="00A01197">
        <w:t xml:space="preserve">families with </w:t>
      </w:r>
      <w:r w:rsidR="00EE1E1B">
        <w:t xml:space="preserve">young </w:t>
      </w:r>
      <w:r w:rsidR="00A01197">
        <w:t>children</w:t>
      </w:r>
      <w:r w:rsidR="00EE1E1B">
        <w:t>, a rise in families with older children</w:t>
      </w:r>
      <w:r w:rsidR="00A01197">
        <w:t xml:space="preserve"> and a</w:t>
      </w:r>
      <w:r w:rsidR="00EE1E1B">
        <w:t>n increase i</w:t>
      </w:r>
      <w:r w:rsidR="00A01197">
        <w:t xml:space="preserve">n </w:t>
      </w:r>
      <w:r w:rsidR="00EE1E1B">
        <w:t>older persons as proportions of the population from 2001-2011. Overall, the population of Weymouth is showing an aging trend.</w:t>
      </w:r>
      <w:bookmarkEnd w:id="151"/>
    </w:p>
    <w:p w14:paraId="7B5BD2F4" w14:textId="0FD4B201" w:rsidR="002C2D5C" w:rsidRPr="00EE1E1B" w:rsidRDefault="00EE1E1B" w:rsidP="00EE1E1B">
      <w:pPr>
        <w:pStyle w:val="ListNumber"/>
        <w:rPr>
          <w:rFonts w:asciiTheme="majorHAnsi" w:hAnsiTheme="majorHAnsi"/>
          <w:b/>
          <w:bCs/>
          <w:color w:val="00B5E2" w:themeColor="accent1"/>
        </w:rPr>
      </w:pPr>
      <w:bookmarkStart w:id="152" w:name="_Hlk63154809"/>
      <w:r>
        <w:t>This is not too dissimilar from the trends observed across Dorset and England as a whole, although over 85s have shown a much larger increase in Dorset and England than in Weymouth and the younger working age population (25-44) has shown a slight increase across England, compared to a 9% decline in Weymouth and Dorset.</w:t>
      </w:r>
      <w:bookmarkEnd w:id="152"/>
      <w:r>
        <w:t xml:space="preserve"> </w:t>
      </w:r>
    </w:p>
    <w:p w14:paraId="0CB8CC3C" w14:textId="647E2C3D" w:rsidR="002C2D5C" w:rsidRPr="002D4F56" w:rsidRDefault="002C2D5C" w:rsidP="002C2D5C">
      <w:pPr>
        <w:pStyle w:val="Caption"/>
        <w:jc w:val="both"/>
        <w:rPr>
          <w:sz w:val="18"/>
          <w:szCs w:val="18"/>
        </w:rPr>
      </w:pPr>
      <w:bookmarkStart w:id="153" w:name="_Ref2601666"/>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6</w:t>
      </w:r>
      <w:r w:rsidR="00BA4C32">
        <w:rPr>
          <w:sz w:val="18"/>
          <w:szCs w:val="18"/>
        </w:rPr>
        <w:fldChar w:fldCharType="end"/>
      </w:r>
      <w:bookmarkEnd w:id="153"/>
      <w:r w:rsidRPr="002D4F56">
        <w:rPr>
          <w:sz w:val="18"/>
          <w:szCs w:val="18"/>
        </w:rPr>
        <w:t>: Rate of cha</w:t>
      </w:r>
      <w:r w:rsidR="005F50BC" w:rsidRPr="002D4F56">
        <w:rPr>
          <w:sz w:val="18"/>
          <w:szCs w:val="18"/>
        </w:rPr>
        <w:t xml:space="preserve">nge in the age structure of </w:t>
      </w:r>
      <w:r w:rsidR="0015105E">
        <w:rPr>
          <w:sz w:val="18"/>
          <w:szCs w:val="18"/>
        </w:rPr>
        <w:t>Weymouth</w:t>
      </w:r>
      <w:r w:rsidR="005F50BC" w:rsidRPr="002D4F56">
        <w:rPr>
          <w:sz w:val="18"/>
          <w:szCs w:val="18"/>
        </w:rPr>
        <w:t xml:space="preserve"> </w:t>
      </w:r>
      <w:r w:rsidRPr="002D4F56">
        <w:rPr>
          <w:sz w:val="18"/>
          <w:szCs w:val="18"/>
        </w:rPr>
        <w:t>population, 2001-2011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325"/>
        <w:gridCol w:w="2325"/>
        <w:gridCol w:w="2325"/>
      </w:tblGrid>
      <w:tr w:rsidR="00EE1E1B" w:rsidRPr="00374C95" w14:paraId="56203837" w14:textId="77777777" w:rsidTr="00C378B2">
        <w:trPr>
          <w:trHeight w:val="288"/>
        </w:trPr>
        <w:tc>
          <w:tcPr>
            <w:tcW w:w="1295" w:type="pct"/>
            <w:shd w:val="clear" w:color="auto" w:fill="000000" w:themeFill="text1"/>
            <w:noWrap/>
            <w:vAlign w:val="center"/>
            <w:hideMark/>
          </w:tcPr>
          <w:p w14:paraId="287FDB5C" w14:textId="77777777" w:rsidR="00EE1E1B" w:rsidRPr="00374C95" w:rsidRDefault="00EE1E1B" w:rsidP="00EE1E1B">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Age group</w:t>
            </w:r>
          </w:p>
        </w:tc>
        <w:tc>
          <w:tcPr>
            <w:tcW w:w="1235" w:type="pct"/>
            <w:shd w:val="clear" w:color="auto" w:fill="000000" w:themeFill="text1"/>
            <w:noWrap/>
            <w:vAlign w:val="center"/>
            <w:hideMark/>
          </w:tcPr>
          <w:p w14:paraId="4C0F2FCA" w14:textId="1D5990E9" w:rsidR="00EE1E1B" w:rsidRPr="00EE1E1B" w:rsidRDefault="00EE1E1B" w:rsidP="00EE1E1B">
            <w:pPr>
              <w:spacing w:line="240" w:lineRule="auto"/>
              <w:jc w:val="both"/>
              <w:rPr>
                <w:rFonts w:cstheme="minorHAnsi"/>
                <w:b/>
                <w:bCs/>
                <w:color w:val="FFFFFF" w:themeColor="background1"/>
                <w:sz w:val="18"/>
                <w:szCs w:val="18"/>
                <w:lang w:eastAsia="zh-CN"/>
              </w:rPr>
            </w:pPr>
            <w:r w:rsidRPr="00EE1E1B">
              <w:rPr>
                <w:b/>
                <w:bCs/>
                <w:color w:val="FFFFFF"/>
                <w:sz w:val="18"/>
                <w:szCs w:val="18"/>
              </w:rPr>
              <w:t>Weymouth</w:t>
            </w:r>
          </w:p>
        </w:tc>
        <w:tc>
          <w:tcPr>
            <w:tcW w:w="1235" w:type="pct"/>
            <w:shd w:val="clear" w:color="auto" w:fill="000000" w:themeFill="text1"/>
            <w:noWrap/>
            <w:vAlign w:val="center"/>
            <w:hideMark/>
          </w:tcPr>
          <w:p w14:paraId="7DA92A47" w14:textId="1AE190E0" w:rsidR="00EE1E1B" w:rsidRPr="00EE1E1B" w:rsidRDefault="00EE1E1B" w:rsidP="00EE1E1B">
            <w:pPr>
              <w:spacing w:line="240" w:lineRule="auto"/>
              <w:jc w:val="both"/>
              <w:rPr>
                <w:rFonts w:cstheme="minorHAnsi"/>
                <w:b/>
                <w:bCs/>
                <w:color w:val="FFFFFF" w:themeColor="background1"/>
                <w:sz w:val="18"/>
                <w:szCs w:val="18"/>
                <w:lang w:eastAsia="zh-CN"/>
              </w:rPr>
            </w:pPr>
            <w:r w:rsidRPr="00EE1E1B">
              <w:rPr>
                <w:b/>
                <w:bCs/>
                <w:color w:val="FFFFFF"/>
                <w:sz w:val="18"/>
                <w:szCs w:val="18"/>
              </w:rPr>
              <w:t>Dorset</w:t>
            </w:r>
            <w:r w:rsidR="0099461D">
              <w:rPr>
                <w:rStyle w:val="FootnoteReference"/>
                <w:b/>
                <w:bCs/>
                <w:sz w:val="18"/>
                <w:szCs w:val="18"/>
              </w:rPr>
              <w:footnoteReference w:id="45"/>
            </w:r>
          </w:p>
        </w:tc>
        <w:tc>
          <w:tcPr>
            <w:tcW w:w="1235" w:type="pct"/>
            <w:shd w:val="clear" w:color="auto" w:fill="000000" w:themeFill="text1"/>
            <w:vAlign w:val="center"/>
          </w:tcPr>
          <w:p w14:paraId="5DC7D416" w14:textId="7F7C6B4F" w:rsidR="00EE1E1B" w:rsidRPr="00EE1E1B" w:rsidRDefault="00EE1E1B" w:rsidP="00EE1E1B">
            <w:pPr>
              <w:spacing w:line="240" w:lineRule="auto"/>
              <w:jc w:val="both"/>
              <w:rPr>
                <w:rFonts w:cstheme="minorHAnsi"/>
                <w:b/>
                <w:bCs/>
                <w:color w:val="FFFFFF" w:themeColor="background1"/>
                <w:sz w:val="18"/>
                <w:szCs w:val="18"/>
                <w:lang w:eastAsia="zh-CN"/>
              </w:rPr>
            </w:pPr>
            <w:r w:rsidRPr="00EE1E1B">
              <w:rPr>
                <w:b/>
                <w:bCs/>
                <w:color w:val="FFFFFF"/>
                <w:sz w:val="18"/>
                <w:szCs w:val="18"/>
              </w:rPr>
              <w:t>England</w:t>
            </w:r>
          </w:p>
        </w:tc>
      </w:tr>
      <w:tr w:rsidR="00EE1E1B" w:rsidRPr="00374C95" w14:paraId="0853493D" w14:textId="77777777" w:rsidTr="00EE1E1B">
        <w:trPr>
          <w:trHeight w:val="288"/>
        </w:trPr>
        <w:tc>
          <w:tcPr>
            <w:tcW w:w="1295" w:type="pct"/>
            <w:shd w:val="clear" w:color="auto" w:fill="auto"/>
            <w:noWrap/>
            <w:vAlign w:val="center"/>
            <w:hideMark/>
          </w:tcPr>
          <w:p w14:paraId="2D198939" w14:textId="77777777" w:rsidR="00EE1E1B" w:rsidRPr="00374C95" w:rsidRDefault="00EE1E1B" w:rsidP="00EE1E1B">
            <w:pPr>
              <w:spacing w:line="240" w:lineRule="auto"/>
              <w:jc w:val="both"/>
              <w:rPr>
                <w:rFonts w:cstheme="minorHAnsi"/>
                <w:sz w:val="18"/>
                <w:szCs w:val="18"/>
                <w:lang w:eastAsia="zh-CN"/>
              </w:rPr>
            </w:pPr>
            <w:r w:rsidRPr="00374C95">
              <w:rPr>
                <w:rFonts w:cstheme="minorHAnsi"/>
                <w:sz w:val="18"/>
                <w:szCs w:val="18"/>
                <w:lang w:eastAsia="zh-CN"/>
              </w:rPr>
              <w:t>0-15</w:t>
            </w:r>
          </w:p>
        </w:tc>
        <w:tc>
          <w:tcPr>
            <w:tcW w:w="1235" w:type="pct"/>
            <w:shd w:val="clear" w:color="auto" w:fill="auto"/>
            <w:noWrap/>
            <w:vAlign w:val="center"/>
            <w:hideMark/>
          </w:tcPr>
          <w:p w14:paraId="47B2111F" w14:textId="6B29B65A" w:rsidR="00EE1E1B" w:rsidRPr="00EE1E1B" w:rsidRDefault="00EE1E1B" w:rsidP="00EE1E1B">
            <w:pPr>
              <w:spacing w:line="240" w:lineRule="auto"/>
              <w:jc w:val="both"/>
              <w:rPr>
                <w:rFonts w:cstheme="minorHAnsi"/>
                <w:sz w:val="18"/>
                <w:szCs w:val="18"/>
                <w:lang w:eastAsia="zh-CN"/>
              </w:rPr>
            </w:pPr>
            <w:r w:rsidRPr="00EE1E1B">
              <w:rPr>
                <w:sz w:val="18"/>
                <w:szCs w:val="18"/>
              </w:rPr>
              <w:t>-7.3%</w:t>
            </w:r>
          </w:p>
        </w:tc>
        <w:tc>
          <w:tcPr>
            <w:tcW w:w="1235" w:type="pct"/>
            <w:shd w:val="clear" w:color="auto" w:fill="auto"/>
            <w:noWrap/>
            <w:vAlign w:val="center"/>
            <w:hideMark/>
          </w:tcPr>
          <w:p w14:paraId="15479BB2" w14:textId="1ABBE23C" w:rsidR="00EE1E1B" w:rsidRPr="00EE1E1B" w:rsidRDefault="00EE1E1B" w:rsidP="00EE1E1B">
            <w:pPr>
              <w:spacing w:line="240" w:lineRule="auto"/>
              <w:jc w:val="both"/>
              <w:rPr>
                <w:rFonts w:cstheme="minorHAnsi"/>
                <w:sz w:val="18"/>
                <w:szCs w:val="18"/>
                <w:lang w:eastAsia="zh-CN"/>
              </w:rPr>
            </w:pPr>
            <w:r w:rsidRPr="00EE1E1B">
              <w:rPr>
                <w:sz w:val="18"/>
                <w:szCs w:val="18"/>
              </w:rPr>
              <w:t>-3.6%</w:t>
            </w:r>
          </w:p>
        </w:tc>
        <w:tc>
          <w:tcPr>
            <w:tcW w:w="1235" w:type="pct"/>
            <w:vAlign w:val="center"/>
          </w:tcPr>
          <w:p w14:paraId="772CAF70" w14:textId="7BDF2B20" w:rsidR="00EE1E1B" w:rsidRPr="00EE1E1B" w:rsidRDefault="00EE1E1B" w:rsidP="00EE1E1B">
            <w:pPr>
              <w:spacing w:line="240" w:lineRule="auto"/>
              <w:jc w:val="both"/>
              <w:rPr>
                <w:rFonts w:cstheme="minorHAnsi"/>
                <w:sz w:val="18"/>
                <w:szCs w:val="18"/>
                <w:lang w:eastAsia="zh-CN"/>
              </w:rPr>
            </w:pPr>
            <w:r w:rsidRPr="00EE1E1B">
              <w:rPr>
                <w:sz w:val="18"/>
                <w:szCs w:val="18"/>
              </w:rPr>
              <w:t>1.2%</w:t>
            </w:r>
          </w:p>
        </w:tc>
      </w:tr>
      <w:tr w:rsidR="00EE1E1B" w:rsidRPr="00374C95" w14:paraId="2152E5E7" w14:textId="77777777" w:rsidTr="00EE1E1B">
        <w:trPr>
          <w:trHeight w:val="288"/>
        </w:trPr>
        <w:tc>
          <w:tcPr>
            <w:tcW w:w="1295" w:type="pct"/>
            <w:shd w:val="clear" w:color="auto" w:fill="auto"/>
            <w:noWrap/>
            <w:vAlign w:val="center"/>
            <w:hideMark/>
          </w:tcPr>
          <w:p w14:paraId="7E2D4BD9" w14:textId="77777777" w:rsidR="00EE1E1B" w:rsidRPr="00374C95" w:rsidRDefault="00EE1E1B" w:rsidP="00EE1E1B">
            <w:pPr>
              <w:spacing w:line="240" w:lineRule="auto"/>
              <w:jc w:val="both"/>
              <w:rPr>
                <w:rFonts w:cstheme="minorHAnsi"/>
                <w:sz w:val="18"/>
                <w:szCs w:val="18"/>
                <w:lang w:eastAsia="zh-CN"/>
              </w:rPr>
            </w:pPr>
            <w:r w:rsidRPr="00374C95">
              <w:rPr>
                <w:rFonts w:cstheme="minorHAnsi"/>
                <w:sz w:val="18"/>
                <w:szCs w:val="18"/>
                <w:lang w:eastAsia="zh-CN"/>
              </w:rPr>
              <w:t>16-24</w:t>
            </w:r>
          </w:p>
        </w:tc>
        <w:tc>
          <w:tcPr>
            <w:tcW w:w="1235" w:type="pct"/>
            <w:shd w:val="clear" w:color="auto" w:fill="auto"/>
            <w:noWrap/>
            <w:vAlign w:val="center"/>
            <w:hideMark/>
          </w:tcPr>
          <w:p w14:paraId="2AC3C7DB" w14:textId="2BF718A2" w:rsidR="00EE1E1B" w:rsidRPr="00EE1E1B" w:rsidRDefault="00EE1E1B" w:rsidP="00EE1E1B">
            <w:pPr>
              <w:spacing w:line="240" w:lineRule="auto"/>
              <w:jc w:val="both"/>
              <w:rPr>
                <w:rFonts w:cstheme="minorHAnsi"/>
                <w:sz w:val="18"/>
                <w:szCs w:val="18"/>
                <w:lang w:eastAsia="zh-CN"/>
              </w:rPr>
            </w:pPr>
            <w:r w:rsidRPr="00EE1E1B">
              <w:rPr>
                <w:sz w:val="18"/>
                <w:szCs w:val="18"/>
              </w:rPr>
              <w:t>18.5%</w:t>
            </w:r>
          </w:p>
        </w:tc>
        <w:tc>
          <w:tcPr>
            <w:tcW w:w="1235" w:type="pct"/>
            <w:shd w:val="clear" w:color="auto" w:fill="auto"/>
            <w:noWrap/>
            <w:vAlign w:val="center"/>
            <w:hideMark/>
          </w:tcPr>
          <w:p w14:paraId="33D6F87F" w14:textId="515D8FA8" w:rsidR="00EE1E1B" w:rsidRPr="00EE1E1B" w:rsidRDefault="00EE1E1B" w:rsidP="00EE1E1B">
            <w:pPr>
              <w:spacing w:line="240" w:lineRule="auto"/>
              <w:jc w:val="both"/>
              <w:rPr>
                <w:rFonts w:cstheme="minorHAnsi"/>
                <w:sz w:val="18"/>
                <w:szCs w:val="18"/>
                <w:lang w:eastAsia="zh-CN"/>
              </w:rPr>
            </w:pPr>
            <w:r w:rsidRPr="00EE1E1B">
              <w:rPr>
                <w:sz w:val="18"/>
                <w:szCs w:val="18"/>
              </w:rPr>
              <w:t>18.2%</w:t>
            </w:r>
          </w:p>
        </w:tc>
        <w:tc>
          <w:tcPr>
            <w:tcW w:w="1235" w:type="pct"/>
            <w:vAlign w:val="center"/>
          </w:tcPr>
          <w:p w14:paraId="5907F51B" w14:textId="44ADFD61" w:rsidR="00EE1E1B" w:rsidRPr="00EE1E1B" w:rsidRDefault="00EE1E1B" w:rsidP="00EE1E1B">
            <w:pPr>
              <w:spacing w:line="240" w:lineRule="auto"/>
              <w:jc w:val="both"/>
              <w:rPr>
                <w:rFonts w:cstheme="minorHAnsi"/>
                <w:sz w:val="18"/>
                <w:szCs w:val="18"/>
                <w:lang w:eastAsia="zh-CN"/>
              </w:rPr>
            </w:pPr>
            <w:r w:rsidRPr="00EE1E1B">
              <w:rPr>
                <w:sz w:val="18"/>
                <w:szCs w:val="18"/>
              </w:rPr>
              <w:t>17.2%</w:t>
            </w:r>
          </w:p>
        </w:tc>
      </w:tr>
      <w:tr w:rsidR="00EE1E1B" w:rsidRPr="00374C95" w14:paraId="2F52C7A0" w14:textId="77777777" w:rsidTr="00EE1E1B">
        <w:trPr>
          <w:trHeight w:val="288"/>
        </w:trPr>
        <w:tc>
          <w:tcPr>
            <w:tcW w:w="1295" w:type="pct"/>
            <w:shd w:val="clear" w:color="auto" w:fill="auto"/>
            <w:noWrap/>
            <w:vAlign w:val="center"/>
            <w:hideMark/>
          </w:tcPr>
          <w:p w14:paraId="044A8146" w14:textId="77777777" w:rsidR="00EE1E1B" w:rsidRPr="00374C95" w:rsidRDefault="00EE1E1B" w:rsidP="00EE1E1B">
            <w:pPr>
              <w:spacing w:line="240" w:lineRule="auto"/>
              <w:jc w:val="both"/>
              <w:rPr>
                <w:rFonts w:cstheme="minorHAnsi"/>
                <w:sz w:val="18"/>
                <w:szCs w:val="18"/>
                <w:lang w:eastAsia="zh-CN"/>
              </w:rPr>
            </w:pPr>
            <w:r w:rsidRPr="00374C95">
              <w:rPr>
                <w:rFonts w:cstheme="minorHAnsi"/>
                <w:sz w:val="18"/>
                <w:szCs w:val="18"/>
                <w:lang w:eastAsia="zh-CN"/>
              </w:rPr>
              <w:t>25-44</w:t>
            </w:r>
          </w:p>
        </w:tc>
        <w:tc>
          <w:tcPr>
            <w:tcW w:w="1235" w:type="pct"/>
            <w:shd w:val="clear" w:color="auto" w:fill="auto"/>
            <w:noWrap/>
            <w:vAlign w:val="center"/>
            <w:hideMark/>
          </w:tcPr>
          <w:p w14:paraId="394E104E" w14:textId="28CE84CB" w:rsidR="00EE1E1B" w:rsidRPr="00EE1E1B" w:rsidRDefault="00EE1E1B" w:rsidP="00EE1E1B">
            <w:pPr>
              <w:spacing w:line="240" w:lineRule="auto"/>
              <w:jc w:val="both"/>
              <w:rPr>
                <w:rFonts w:cstheme="minorHAnsi"/>
                <w:sz w:val="18"/>
                <w:szCs w:val="18"/>
                <w:lang w:eastAsia="zh-CN"/>
              </w:rPr>
            </w:pPr>
            <w:r w:rsidRPr="00EE1E1B">
              <w:rPr>
                <w:sz w:val="18"/>
                <w:szCs w:val="18"/>
              </w:rPr>
              <w:t>-9.2%</w:t>
            </w:r>
          </w:p>
        </w:tc>
        <w:tc>
          <w:tcPr>
            <w:tcW w:w="1235" w:type="pct"/>
            <w:shd w:val="clear" w:color="auto" w:fill="auto"/>
            <w:noWrap/>
            <w:vAlign w:val="center"/>
            <w:hideMark/>
          </w:tcPr>
          <w:p w14:paraId="02D44AD2" w14:textId="5F3814C3" w:rsidR="00EE1E1B" w:rsidRPr="00EE1E1B" w:rsidRDefault="00EE1E1B" w:rsidP="00EE1E1B">
            <w:pPr>
              <w:spacing w:line="240" w:lineRule="auto"/>
              <w:jc w:val="both"/>
              <w:rPr>
                <w:rFonts w:cstheme="minorHAnsi"/>
                <w:sz w:val="18"/>
                <w:szCs w:val="18"/>
                <w:lang w:eastAsia="zh-CN"/>
              </w:rPr>
            </w:pPr>
            <w:r w:rsidRPr="00EE1E1B">
              <w:rPr>
                <w:sz w:val="18"/>
                <w:szCs w:val="18"/>
              </w:rPr>
              <w:t>-9.5%</w:t>
            </w:r>
          </w:p>
        </w:tc>
        <w:tc>
          <w:tcPr>
            <w:tcW w:w="1235" w:type="pct"/>
            <w:vAlign w:val="center"/>
          </w:tcPr>
          <w:p w14:paraId="2546FC89" w14:textId="52C98AA0" w:rsidR="00EE1E1B" w:rsidRPr="00EE1E1B" w:rsidRDefault="00EE1E1B" w:rsidP="00EE1E1B">
            <w:pPr>
              <w:spacing w:line="240" w:lineRule="auto"/>
              <w:jc w:val="both"/>
              <w:rPr>
                <w:rFonts w:cstheme="minorHAnsi"/>
                <w:sz w:val="18"/>
                <w:szCs w:val="18"/>
                <w:lang w:eastAsia="zh-CN"/>
              </w:rPr>
            </w:pPr>
            <w:r w:rsidRPr="00EE1E1B">
              <w:rPr>
                <w:sz w:val="18"/>
                <w:szCs w:val="18"/>
              </w:rPr>
              <w:t>1.4%</w:t>
            </w:r>
          </w:p>
        </w:tc>
      </w:tr>
      <w:tr w:rsidR="00EE1E1B" w:rsidRPr="00374C95" w14:paraId="40044325" w14:textId="77777777" w:rsidTr="00EE1E1B">
        <w:trPr>
          <w:trHeight w:val="288"/>
        </w:trPr>
        <w:tc>
          <w:tcPr>
            <w:tcW w:w="1295" w:type="pct"/>
            <w:shd w:val="clear" w:color="auto" w:fill="auto"/>
            <w:noWrap/>
            <w:vAlign w:val="center"/>
            <w:hideMark/>
          </w:tcPr>
          <w:p w14:paraId="15C103EB" w14:textId="77777777" w:rsidR="00EE1E1B" w:rsidRPr="00374C95" w:rsidRDefault="00EE1E1B" w:rsidP="00EE1E1B">
            <w:pPr>
              <w:spacing w:line="240" w:lineRule="auto"/>
              <w:jc w:val="both"/>
              <w:rPr>
                <w:rFonts w:cstheme="minorHAnsi"/>
                <w:sz w:val="18"/>
                <w:szCs w:val="18"/>
                <w:lang w:eastAsia="zh-CN"/>
              </w:rPr>
            </w:pPr>
            <w:r w:rsidRPr="00374C95">
              <w:rPr>
                <w:rFonts w:cstheme="minorHAnsi"/>
                <w:sz w:val="18"/>
                <w:szCs w:val="18"/>
                <w:lang w:eastAsia="zh-CN"/>
              </w:rPr>
              <w:t>45-64</w:t>
            </w:r>
          </w:p>
        </w:tc>
        <w:tc>
          <w:tcPr>
            <w:tcW w:w="1235" w:type="pct"/>
            <w:shd w:val="clear" w:color="auto" w:fill="auto"/>
            <w:noWrap/>
            <w:vAlign w:val="center"/>
            <w:hideMark/>
          </w:tcPr>
          <w:p w14:paraId="28C00A17" w14:textId="31822534" w:rsidR="00EE1E1B" w:rsidRPr="00EE1E1B" w:rsidRDefault="00EE1E1B" w:rsidP="00EE1E1B">
            <w:pPr>
              <w:spacing w:line="240" w:lineRule="auto"/>
              <w:jc w:val="both"/>
              <w:rPr>
                <w:rFonts w:cstheme="minorHAnsi"/>
                <w:sz w:val="18"/>
                <w:szCs w:val="18"/>
                <w:lang w:eastAsia="zh-CN"/>
              </w:rPr>
            </w:pPr>
            <w:r w:rsidRPr="00EE1E1B">
              <w:rPr>
                <w:sz w:val="18"/>
                <w:szCs w:val="18"/>
              </w:rPr>
              <w:t>11.1%</w:t>
            </w:r>
          </w:p>
        </w:tc>
        <w:tc>
          <w:tcPr>
            <w:tcW w:w="1235" w:type="pct"/>
            <w:shd w:val="clear" w:color="auto" w:fill="auto"/>
            <w:noWrap/>
            <w:vAlign w:val="center"/>
            <w:hideMark/>
          </w:tcPr>
          <w:p w14:paraId="6A4FE547" w14:textId="0FC8AC65" w:rsidR="00EE1E1B" w:rsidRPr="00EE1E1B" w:rsidRDefault="00EE1E1B" w:rsidP="00EE1E1B">
            <w:pPr>
              <w:spacing w:line="240" w:lineRule="auto"/>
              <w:jc w:val="both"/>
              <w:rPr>
                <w:rFonts w:cstheme="minorHAnsi"/>
                <w:sz w:val="18"/>
                <w:szCs w:val="18"/>
                <w:lang w:eastAsia="zh-CN"/>
              </w:rPr>
            </w:pPr>
            <w:r w:rsidRPr="00EE1E1B">
              <w:rPr>
                <w:sz w:val="18"/>
                <w:szCs w:val="18"/>
              </w:rPr>
              <w:t>14.1%</w:t>
            </w:r>
          </w:p>
        </w:tc>
        <w:tc>
          <w:tcPr>
            <w:tcW w:w="1235" w:type="pct"/>
            <w:vAlign w:val="center"/>
          </w:tcPr>
          <w:p w14:paraId="161BB53B" w14:textId="77EED13A" w:rsidR="00EE1E1B" w:rsidRPr="00EE1E1B" w:rsidRDefault="00EE1E1B" w:rsidP="00EE1E1B">
            <w:pPr>
              <w:spacing w:line="240" w:lineRule="auto"/>
              <w:jc w:val="both"/>
              <w:rPr>
                <w:rFonts w:cstheme="minorHAnsi"/>
                <w:sz w:val="18"/>
                <w:szCs w:val="18"/>
                <w:lang w:eastAsia="zh-CN"/>
              </w:rPr>
            </w:pPr>
            <w:r w:rsidRPr="00EE1E1B">
              <w:rPr>
                <w:sz w:val="18"/>
                <w:szCs w:val="18"/>
              </w:rPr>
              <w:t>15.2%</w:t>
            </w:r>
          </w:p>
        </w:tc>
      </w:tr>
      <w:tr w:rsidR="00EE1E1B" w:rsidRPr="00374C95" w14:paraId="73B6C3CE" w14:textId="77777777" w:rsidTr="00EE1E1B">
        <w:trPr>
          <w:trHeight w:val="288"/>
        </w:trPr>
        <w:tc>
          <w:tcPr>
            <w:tcW w:w="1295" w:type="pct"/>
            <w:shd w:val="clear" w:color="auto" w:fill="auto"/>
            <w:noWrap/>
            <w:vAlign w:val="center"/>
            <w:hideMark/>
          </w:tcPr>
          <w:p w14:paraId="7E90AA72" w14:textId="77777777" w:rsidR="00EE1E1B" w:rsidRPr="00374C95" w:rsidRDefault="00EE1E1B" w:rsidP="00EE1E1B">
            <w:pPr>
              <w:spacing w:line="240" w:lineRule="auto"/>
              <w:jc w:val="both"/>
              <w:rPr>
                <w:rFonts w:cstheme="minorHAnsi"/>
                <w:sz w:val="18"/>
                <w:szCs w:val="18"/>
                <w:lang w:eastAsia="zh-CN"/>
              </w:rPr>
            </w:pPr>
            <w:r w:rsidRPr="00374C95">
              <w:rPr>
                <w:rFonts w:cstheme="minorHAnsi"/>
                <w:sz w:val="18"/>
                <w:szCs w:val="18"/>
                <w:lang w:eastAsia="zh-CN"/>
              </w:rPr>
              <w:t>65-84</w:t>
            </w:r>
          </w:p>
        </w:tc>
        <w:tc>
          <w:tcPr>
            <w:tcW w:w="1235" w:type="pct"/>
            <w:shd w:val="clear" w:color="auto" w:fill="auto"/>
            <w:noWrap/>
            <w:vAlign w:val="center"/>
            <w:hideMark/>
          </w:tcPr>
          <w:p w14:paraId="0EE7C69C" w14:textId="12336A98" w:rsidR="00EE1E1B" w:rsidRPr="00EE1E1B" w:rsidRDefault="00EE1E1B" w:rsidP="00EE1E1B">
            <w:pPr>
              <w:spacing w:line="240" w:lineRule="auto"/>
              <w:jc w:val="both"/>
              <w:rPr>
                <w:rFonts w:cstheme="minorHAnsi"/>
                <w:sz w:val="18"/>
                <w:szCs w:val="18"/>
                <w:lang w:eastAsia="zh-CN"/>
              </w:rPr>
            </w:pPr>
            <w:r w:rsidRPr="00EE1E1B">
              <w:rPr>
                <w:sz w:val="18"/>
                <w:szCs w:val="18"/>
              </w:rPr>
              <w:t>10.5%</w:t>
            </w:r>
          </w:p>
        </w:tc>
        <w:tc>
          <w:tcPr>
            <w:tcW w:w="1235" w:type="pct"/>
            <w:shd w:val="clear" w:color="auto" w:fill="auto"/>
            <w:noWrap/>
            <w:vAlign w:val="center"/>
            <w:hideMark/>
          </w:tcPr>
          <w:p w14:paraId="6CBB176D" w14:textId="1137254C" w:rsidR="00EE1E1B" w:rsidRPr="00EE1E1B" w:rsidRDefault="00EE1E1B" w:rsidP="00EE1E1B">
            <w:pPr>
              <w:spacing w:line="240" w:lineRule="auto"/>
              <w:jc w:val="both"/>
              <w:rPr>
                <w:rFonts w:cstheme="minorHAnsi"/>
                <w:sz w:val="18"/>
                <w:szCs w:val="18"/>
                <w:lang w:eastAsia="zh-CN"/>
              </w:rPr>
            </w:pPr>
            <w:r w:rsidRPr="00EE1E1B">
              <w:rPr>
                <w:sz w:val="18"/>
                <w:szCs w:val="18"/>
              </w:rPr>
              <w:t>11.2%</w:t>
            </w:r>
          </w:p>
        </w:tc>
        <w:tc>
          <w:tcPr>
            <w:tcW w:w="1235" w:type="pct"/>
            <w:vAlign w:val="center"/>
          </w:tcPr>
          <w:p w14:paraId="607E98BF" w14:textId="5AAF72FC" w:rsidR="00EE1E1B" w:rsidRPr="00EE1E1B" w:rsidRDefault="00EE1E1B" w:rsidP="00EE1E1B">
            <w:pPr>
              <w:spacing w:line="240" w:lineRule="auto"/>
              <w:jc w:val="both"/>
              <w:rPr>
                <w:rFonts w:cstheme="minorHAnsi"/>
                <w:sz w:val="18"/>
                <w:szCs w:val="18"/>
                <w:lang w:eastAsia="zh-CN"/>
              </w:rPr>
            </w:pPr>
            <w:r w:rsidRPr="00EE1E1B">
              <w:rPr>
                <w:sz w:val="18"/>
                <w:szCs w:val="18"/>
              </w:rPr>
              <w:t>9.1%</w:t>
            </w:r>
          </w:p>
        </w:tc>
      </w:tr>
      <w:tr w:rsidR="00EE1E1B" w:rsidRPr="00374C95" w14:paraId="00BA10E8" w14:textId="77777777" w:rsidTr="00EE1E1B">
        <w:trPr>
          <w:trHeight w:val="288"/>
        </w:trPr>
        <w:tc>
          <w:tcPr>
            <w:tcW w:w="1295" w:type="pct"/>
            <w:shd w:val="clear" w:color="auto" w:fill="auto"/>
            <w:noWrap/>
            <w:vAlign w:val="center"/>
            <w:hideMark/>
          </w:tcPr>
          <w:p w14:paraId="4582AFAB" w14:textId="77777777" w:rsidR="00EE1E1B" w:rsidRPr="00374C95" w:rsidRDefault="00EE1E1B" w:rsidP="00EE1E1B">
            <w:pPr>
              <w:spacing w:line="240" w:lineRule="auto"/>
              <w:jc w:val="both"/>
              <w:rPr>
                <w:rFonts w:cstheme="minorHAnsi"/>
                <w:sz w:val="18"/>
                <w:szCs w:val="18"/>
                <w:lang w:eastAsia="zh-CN"/>
              </w:rPr>
            </w:pPr>
            <w:r w:rsidRPr="00374C95">
              <w:rPr>
                <w:rFonts w:cstheme="minorHAnsi"/>
                <w:sz w:val="18"/>
                <w:szCs w:val="18"/>
                <w:lang w:eastAsia="zh-CN"/>
              </w:rPr>
              <w:t>85 and over</w:t>
            </w:r>
          </w:p>
        </w:tc>
        <w:tc>
          <w:tcPr>
            <w:tcW w:w="1235" w:type="pct"/>
            <w:shd w:val="clear" w:color="auto" w:fill="auto"/>
            <w:noWrap/>
            <w:vAlign w:val="center"/>
            <w:hideMark/>
          </w:tcPr>
          <w:p w14:paraId="419A1A73" w14:textId="4904CF25" w:rsidR="00EE1E1B" w:rsidRPr="00EE1E1B" w:rsidRDefault="00EE1E1B" w:rsidP="00EE1E1B">
            <w:pPr>
              <w:spacing w:line="240" w:lineRule="auto"/>
              <w:jc w:val="both"/>
              <w:rPr>
                <w:rFonts w:cstheme="minorHAnsi"/>
                <w:sz w:val="18"/>
                <w:szCs w:val="18"/>
                <w:lang w:eastAsia="zh-CN"/>
              </w:rPr>
            </w:pPr>
            <w:r w:rsidRPr="00EE1E1B">
              <w:rPr>
                <w:sz w:val="18"/>
                <w:szCs w:val="18"/>
              </w:rPr>
              <w:t>4.4%</w:t>
            </w:r>
          </w:p>
        </w:tc>
        <w:tc>
          <w:tcPr>
            <w:tcW w:w="1235" w:type="pct"/>
            <w:shd w:val="clear" w:color="auto" w:fill="auto"/>
            <w:noWrap/>
            <w:vAlign w:val="center"/>
            <w:hideMark/>
          </w:tcPr>
          <w:p w14:paraId="4FF573C2" w14:textId="7EDF2E01" w:rsidR="00EE1E1B" w:rsidRPr="00EE1E1B" w:rsidRDefault="00EE1E1B" w:rsidP="00EE1E1B">
            <w:pPr>
              <w:spacing w:line="240" w:lineRule="auto"/>
              <w:jc w:val="both"/>
              <w:rPr>
                <w:rFonts w:cstheme="minorHAnsi"/>
                <w:sz w:val="18"/>
                <w:szCs w:val="18"/>
                <w:lang w:eastAsia="zh-CN"/>
              </w:rPr>
            </w:pPr>
            <w:r w:rsidRPr="00EE1E1B">
              <w:rPr>
                <w:sz w:val="18"/>
                <w:szCs w:val="18"/>
              </w:rPr>
              <w:t>31.5%</w:t>
            </w:r>
          </w:p>
        </w:tc>
        <w:tc>
          <w:tcPr>
            <w:tcW w:w="1235" w:type="pct"/>
            <w:vAlign w:val="center"/>
          </w:tcPr>
          <w:p w14:paraId="1666CC58" w14:textId="17A18E49" w:rsidR="00EE1E1B" w:rsidRPr="00EE1E1B" w:rsidRDefault="00EE1E1B" w:rsidP="00EE1E1B">
            <w:pPr>
              <w:spacing w:line="240" w:lineRule="auto"/>
              <w:jc w:val="both"/>
              <w:rPr>
                <w:rFonts w:cstheme="minorHAnsi"/>
                <w:sz w:val="18"/>
                <w:szCs w:val="18"/>
                <w:lang w:eastAsia="zh-CN"/>
              </w:rPr>
            </w:pPr>
            <w:r w:rsidRPr="00EE1E1B">
              <w:rPr>
                <w:sz w:val="18"/>
                <w:szCs w:val="18"/>
              </w:rPr>
              <w:t>23.7%</w:t>
            </w:r>
          </w:p>
        </w:tc>
      </w:tr>
    </w:tbl>
    <w:p w14:paraId="7D274BF3" w14:textId="77777777" w:rsidR="002C2D5C" w:rsidRPr="00374C95" w:rsidRDefault="002C2D5C" w:rsidP="002C2D5C">
      <w:pPr>
        <w:pStyle w:val="Source"/>
        <w:jc w:val="both"/>
        <w:rPr>
          <w:sz w:val="18"/>
          <w:szCs w:val="18"/>
          <w:lang w:val="en-GB"/>
        </w:rPr>
      </w:pPr>
      <w:r w:rsidRPr="00374C95">
        <w:rPr>
          <w:sz w:val="18"/>
          <w:szCs w:val="18"/>
          <w:lang w:val="en-GB"/>
        </w:rPr>
        <w:t>Source: ONS 2001-2011, AECOM Calculations</w:t>
      </w:r>
    </w:p>
    <w:p w14:paraId="6799A7E8" w14:textId="77777777" w:rsidR="002C2D5C" w:rsidRPr="00C95E06" w:rsidRDefault="002C2D5C" w:rsidP="002C2D5C">
      <w:pPr>
        <w:pStyle w:val="Heading3"/>
        <w:jc w:val="both"/>
        <w:rPr>
          <w:sz w:val="23"/>
          <w:szCs w:val="23"/>
        </w:rPr>
      </w:pPr>
      <w:bookmarkStart w:id="154" w:name="_Toc4428642"/>
      <w:bookmarkStart w:id="155" w:name="_Toc64026815"/>
      <w:r w:rsidRPr="00C95E06">
        <w:t>Household composition</w:t>
      </w:r>
      <w:bookmarkEnd w:id="154"/>
      <w:bookmarkEnd w:id="155"/>
    </w:p>
    <w:p w14:paraId="2EFC0005" w14:textId="229F8BB8" w:rsidR="00CA73BD" w:rsidRDefault="002C2D5C" w:rsidP="00A82210">
      <w:pPr>
        <w:pStyle w:val="ListNumber"/>
      </w:pPr>
      <w:r w:rsidRPr="00CA73BD">
        <w:t xml:space="preserve">Household composition </w:t>
      </w:r>
      <w:r w:rsidR="00ED7288" w:rsidRPr="00ED7288">
        <w:t>(i.e</w:t>
      </w:r>
      <w:r w:rsidR="000C64A4">
        <w:t>.</w:t>
      </w:r>
      <w:r w:rsidR="00ED7288" w:rsidRPr="00ED7288">
        <w:t xml:space="preserve"> the mix of adults and children in a dwelling) </w:t>
      </w:r>
      <w:r w:rsidR="00CA73BD">
        <w:t xml:space="preserve">is a critical factor in driving the size (and to an extent, the type) of housing needed over the Neighbourhood Plan period. </w:t>
      </w:r>
    </w:p>
    <w:p w14:paraId="3B94E3D4" w14:textId="285D082E" w:rsidR="00A02AE6" w:rsidRDefault="00CA73BD" w:rsidP="00A82210">
      <w:pPr>
        <w:pStyle w:val="ListNumber"/>
      </w:pPr>
      <w:r>
        <w:t xml:space="preserve">In assessing Census data on household composition, we see that </w:t>
      </w:r>
      <w:bookmarkStart w:id="156" w:name="_Hlk63155011"/>
      <w:r w:rsidR="0015105E">
        <w:t>Weymouth</w:t>
      </w:r>
      <w:r w:rsidR="00A02AE6">
        <w:t xml:space="preserve"> shows a very similar household composition to</w:t>
      </w:r>
      <w:r w:rsidR="002C2D5C" w:rsidRPr="00CA73BD">
        <w:t xml:space="preserve"> the LA</w:t>
      </w:r>
      <w:r w:rsidR="00A02AE6">
        <w:t xml:space="preserve"> and the rest of the country</w:t>
      </w:r>
      <w:bookmarkEnd w:id="156"/>
      <w:r w:rsidR="002C2D5C" w:rsidRPr="00CA73BD">
        <w:t xml:space="preserve"> (</w:t>
      </w:r>
      <w:r w:rsidR="002C2D5C" w:rsidRPr="00CA73BD">
        <w:fldChar w:fldCharType="begin"/>
      </w:r>
      <w:r w:rsidR="002C2D5C" w:rsidRPr="00CA73BD">
        <w:instrText xml:space="preserve"> REF _Ref2603055 \h  \* MERGEFORMAT </w:instrText>
      </w:r>
      <w:r w:rsidR="002C2D5C" w:rsidRPr="00CA73BD">
        <w:fldChar w:fldCharType="separate"/>
      </w:r>
      <w:r w:rsidR="00603781" w:rsidRPr="002D4F56">
        <w:t xml:space="preserve">Table </w:t>
      </w:r>
      <w:r w:rsidR="00603781">
        <w:rPr>
          <w:noProof/>
        </w:rPr>
        <w:t>5</w:t>
      </w:r>
      <w:r w:rsidR="00603781">
        <w:rPr>
          <w:noProof/>
        </w:rPr>
        <w:noBreakHyphen/>
        <w:t>7</w:t>
      </w:r>
      <w:r w:rsidR="002C2D5C" w:rsidRPr="00CA73BD">
        <w:fldChar w:fldCharType="end"/>
      </w:r>
      <w:r w:rsidR="002C2D5C" w:rsidRPr="00CA73BD">
        <w:t xml:space="preserve">). </w:t>
      </w:r>
      <w:bookmarkStart w:id="157" w:name="_Hlk20150984"/>
      <w:r w:rsidR="00A02AE6">
        <w:t xml:space="preserve">None of the differences are very pronounced, but the largest differences </w:t>
      </w:r>
      <w:r w:rsidR="0015269D">
        <w:t>comprise a</w:t>
      </w:r>
      <w:r w:rsidR="00A02AE6">
        <w:t xml:space="preserve"> slightly </w:t>
      </w:r>
      <w:r w:rsidR="0015269D">
        <w:t>higher prevalence of</w:t>
      </w:r>
      <w:r w:rsidR="00A02AE6">
        <w:t xml:space="preserve"> younger single households under the age of 65 in Weymouth than in Dorset (4.2% divergence) and slightly more older family households over 65 (3.1% difference).</w:t>
      </w:r>
    </w:p>
    <w:p w14:paraId="0CCB539D" w14:textId="665E5844" w:rsidR="002C2D5C" w:rsidRPr="00CA73BD" w:rsidRDefault="0040775E" w:rsidP="00A82210">
      <w:pPr>
        <w:pStyle w:val="ListNumber"/>
      </w:pPr>
      <w:r>
        <w:t xml:space="preserve">Note that </w:t>
      </w:r>
      <w:r w:rsidR="00A02AE6">
        <w:t xml:space="preserve">the category of families with </w:t>
      </w:r>
      <w:r>
        <w:t xml:space="preserve">non-dependent children </w:t>
      </w:r>
      <w:r w:rsidR="00A02AE6">
        <w:t xml:space="preserve">below </w:t>
      </w:r>
      <w:r>
        <w:t>refer</w:t>
      </w:r>
      <w:r w:rsidR="00A02AE6">
        <w:t>s</w:t>
      </w:r>
      <w:r>
        <w:t xml:space="preserve"> to households in which adult children are living at home, or students still call their primary residence despite living for most of the year near to university</w:t>
      </w:r>
      <w:r w:rsidR="00915935">
        <w:t>.</w:t>
      </w:r>
      <w:r>
        <w:t xml:space="preserve"> </w:t>
      </w:r>
      <w:r w:rsidR="00A02AE6">
        <w:t>T</w:t>
      </w:r>
      <w:r>
        <w:t>his category can often indicate the relative unaffordability of entry-level homes in an area as many such young people may wish to move out and form their own households if they were financially able.</w:t>
      </w:r>
      <w:bookmarkEnd w:id="157"/>
      <w:r w:rsidR="00A02AE6">
        <w:t xml:space="preserve"> In Weymouth, this part of the population is similar to across Dorset and slightly lower than across England.</w:t>
      </w:r>
    </w:p>
    <w:p w14:paraId="6F5369D3" w14:textId="7EC75F06" w:rsidR="002C2D5C" w:rsidRPr="002D4F56" w:rsidRDefault="002C2D5C" w:rsidP="002C2D5C">
      <w:pPr>
        <w:pStyle w:val="Caption"/>
        <w:jc w:val="both"/>
        <w:rPr>
          <w:sz w:val="18"/>
          <w:szCs w:val="18"/>
        </w:rPr>
      </w:pPr>
      <w:bookmarkStart w:id="158" w:name="_Ref2603055"/>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7</w:t>
      </w:r>
      <w:r w:rsidR="00BA4C32">
        <w:rPr>
          <w:sz w:val="18"/>
          <w:szCs w:val="18"/>
        </w:rPr>
        <w:fldChar w:fldCharType="end"/>
      </w:r>
      <w:bookmarkEnd w:id="158"/>
      <w:r w:rsidRPr="002D4F56">
        <w:rPr>
          <w:noProof/>
          <w:sz w:val="18"/>
          <w:szCs w:val="18"/>
        </w:rPr>
        <w:t xml:space="preserve">: </w:t>
      </w:r>
      <w:r w:rsidRPr="002D4F56">
        <w:rPr>
          <w:sz w:val="18"/>
          <w:szCs w:val="18"/>
        </w:rPr>
        <w:t xml:space="preserve">Household composition (by household), </w:t>
      </w:r>
      <w:r w:rsidR="0015105E">
        <w:rPr>
          <w:sz w:val="18"/>
          <w:szCs w:val="18"/>
        </w:rPr>
        <w:t>Weymouth</w:t>
      </w:r>
      <w:r w:rsidR="002D4F56">
        <w:rPr>
          <w:sz w:val="18"/>
          <w:szCs w:val="18"/>
        </w:rPr>
        <w:t xml:space="preserve">, </w:t>
      </w:r>
      <w:r w:rsidRPr="002D4F56">
        <w:rPr>
          <w:sz w:val="18"/>
          <w:szCs w:val="18"/>
        </w:rPr>
        <w:t>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530"/>
        <w:gridCol w:w="1414"/>
        <w:gridCol w:w="1414"/>
        <w:gridCol w:w="1414"/>
      </w:tblGrid>
      <w:tr w:rsidR="00A02AE6" w:rsidRPr="00374C95" w14:paraId="2D73E0A6" w14:textId="77777777" w:rsidTr="00C378B2">
        <w:trPr>
          <w:trHeight w:val="288"/>
        </w:trPr>
        <w:tc>
          <w:tcPr>
            <w:tcW w:w="1403" w:type="pct"/>
            <w:tcBorders>
              <w:bottom w:val="single" w:sz="4" w:space="0" w:color="auto"/>
            </w:tcBorders>
            <w:shd w:val="clear" w:color="auto" w:fill="000000" w:themeFill="text1"/>
            <w:noWrap/>
            <w:vAlign w:val="center"/>
            <w:hideMark/>
          </w:tcPr>
          <w:p w14:paraId="6E0FC1E7" w14:textId="77777777" w:rsidR="00A02AE6" w:rsidRPr="00374C95" w:rsidRDefault="00A02AE6" w:rsidP="00A02AE6">
            <w:pPr>
              <w:spacing w:line="240" w:lineRule="auto"/>
              <w:jc w:val="both"/>
              <w:rPr>
                <w:rFonts w:cstheme="minorHAnsi"/>
                <w:b/>
                <w:color w:val="FFFFFF" w:themeColor="background1"/>
                <w:sz w:val="18"/>
                <w:szCs w:val="18"/>
                <w:highlight w:val="yellow"/>
                <w:lang w:eastAsia="zh-CN"/>
              </w:rPr>
            </w:pPr>
            <w:r w:rsidRPr="00374C95">
              <w:rPr>
                <w:rFonts w:cstheme="minorHAnsi"/>
                <w:b/>
                <w:color w:val="FFFFFF" w:themeColor="background1"/>
                <w:sz w:val="18"/>
                <w:szCs w:val="18"/>
                <w:lang w:eastAsia="zh-CN"/>
              </w:rPr>
              <w:t>Household composition</w:t>
            </w:r>
          </w:p>
        </w:tc>
        <w:tc>
          <w:tcPr>
            <w:tcW w:w="1344" w:type="pct"/>
            <w:shd w:val="clear" w:color="auto" w:fill="000000" w:themeFill="text1"/>
            <w:noWrap/>
            <w:vAlign w:val="center"/>
            <w:hideMark/>
          </w:tcPr>
          <w:p w14:paraId="6D8EBDAA" w14:textId="77777777" w:rsidR="00A02AE6" w:rsidRPr="00374C95" w:rsidRDefault="00A02AE6" w:rsidP="00A02AE6">
            <w:pPr>
              <w:spacing w:line="240" w:lineRule="auto"/>
              <w:jc w:val="both"/>
              <w:rPr>
                <w:rFonts w:cstheme="minorHAnsi"/>
                <w:color w:val="FFFFFF" w:themeColor="background1"/>
                <w:sz w:val="18"/>
                <w:szCs w:val="18"/>
                <w:highlight w:val="yellow"/>
                <w:lang w:eastAsia="zh-CN"/>
              </w:rPr>
            </w:pPr>
          </w:p>
        </w:tc>
        <w:tc>
          <w:tcPr>
            <w:tcW w:w="751" w:type="pct"/>
            <w:shd w:val="clear" w:color="auto" w:fill="000000" w:themeFill="text1"/>
            <w:noWrap/>
            <w:vAlign w:val="center"/>
            <w:hideMark/>
          </w:tcPr>
          <w:p w14:paraId="180F219D" w14:textId="4B00AC60" w:rsidR="00A02AE6" w:rsidRPr="00A02AE6" w:rsidRDefault="00A02AE6" w:rsidP="00A02AE6">
            <w:pPr>
              <w:spacing w:line="240" w:lineRule="auto"/>
              <w:jc w:val="both"/>
              <w:rPr>
                <w:rFonts w:cstheme="minorHAnsi"/>
                <w:b/>
                <w:bCs/>
                <w:color w:val="FFFFFF" w:themeColor="background1"/>
                <w:sz w:val="18"/>
                <w:szCs w:val="18"/>
                <w:lang w:eastAsia="zh-CN"/>
              </w:rPr>
            </w:pPr>
            <w:r w:rsidRPr="00A02AE6">
              <w:rPr>
                <w:b/>
                <w:bCs/>
                <w:color w:val="FFFFFF"/>
                <w:sz w:val="18"/>
                <w:szCs w:val="18"/>
              </w:rPr>
              <w:t>Weymouth</w:t>
            </w:r>
          </w:p>
        </w:tc>
        <w:tc>
          <w:tcPr>
            <w:tcW w:w="751" w:type="pct"/>
            <w:shd w:val="clear" w:color="auto" w:fill="000000" w:themeFill="text1"/>
            <w:noWrap/>
            <w:vAlign w:val="center"/>
            <w:hideMark/>
          </w:tcPr>
          <w:p w14:paraId="17894B72" w14:textId="7C6CE333" w:rsidR="00A02AE6" w:rsidRPr="00A02AE6" w:rsidRDefault="00A02AE6" w:rsidP="00A02AE6">
            <w:pPr>
              <w:spacing w:line="240" w:lineRule="auto"/>
              <w:jc w:val="both"/>
              <w:rPr>
                <w:rFonts w:cstheme="minorHAnsi"/>
                <w:b/>
                <w:bCs/>
                <w:color w:val="FFFFFF" w:themeColor="background1"/>
                <w:sz w:val="18"/>
                <w:szCs w:val="18"/>
                <w:lang w:eastAsia="zh-CN"/>
              </w:rPr>
            </w:pPr>
            <w:r w:rsidRPr="00A02AE6">
              <w:rPr>
                <w:b/>
                <w:bCs/>
                <w:color w:val="FFFFFF"/>
                <w:sz w:val="18"/>
                <w:szCs w:val="18"/>
              </w:rPr>
              <w:t>Dorset</w:t>
            </w:r>
            <w:r w:rsidR="0099461D">
              <w:rPr>
                <w:rStyle w:val="FootnoteReference"/>
                <w:b/>
                <w:bCs/>
                <w:sz w:val="18"/>
                <w:szCs w:val="18"/>
              </w:rPr>
              <w:footnoteReference w:id="46"/>
            </w:r>
          </w:p>
        </w:tc>
        <w:tc>
          <w:tcPr>
            <w:tcW w:w="751" w:type="pct"/>
            <w:shd w:val="clear" w:color="auto" w:fill="000000" w:themeFill="text1"/>
            <w:noWrap/>
            <w:vAlign w:val="center"/>
            <w:hideMark/>
          </w:tcPr>
          <w:p w14:paraId="09200BDD" w14:textId="34B6FD26" w:rsidR="00A02AE6" w:rsidRPr="00A02AE6" w:rsidRDefault="00A02AE6" w:rsidP="00A02AE6">
            <w:pPr>
              <w:spacing w:line="240" w:lineRule="auto"/>
              <w:jc w:val="both"/>
              <w:rPr>
                <w:rFonts w:cstheme="minorHAnsi"/>
                <w:b/>
                <w:bCs/>
                <w:color w:val="FFFFFF" w:themeColor="background1"/>
                <w:sz w:val="18"/>
                <w:szCs w:val="18"/>
                <w:lang w:eastAsia="zh-CN"/>
              </w:rPr>
            </w:pPr>
            <w:r w:rsidRPr="00A02AE6">
              <w:rPr>
                <w:b/>
                <w:bCs/>
                <w:color w:val="FFFFFF"/>
                <w:sz w:val="18"/>
                <w:szCs w:val="18"/>
              </w:rPr>
              <w:t>England</w:t>
            </w:r>
          </w:p>
        </w:tc>
      </w:tr>
      <w:tr w:rsidR="00A02AE6" w:rsidRPr="00374C95" w14:paraId="7C3EFC08" w14:textId="77777777" w:rsidTr="00063441">
        <w:trPr>
          <w:trHeight w:val="288"/>
        </w:trPr>
        <w:tc>
          <w:tcPr>
            <w:tcW w:w="1403" w:type="pct"/>
            <w:tcBorders>
              <w:top w:val="single" w:sz="4" w:space="0" w:color="auto"/>
              <w:left w:val="single" w:sz="4" w:space="0" w:color="auto"/>
              <w:bottom w:val="nil"/>
              <w:right w:val="single" w:sz="4" w:space="0" w:color="auto"/>
            </w:tcBorders>
            <w:shd w:val="clear" w:color="auto" w:fill="auto"/>
            <w:noWrap/>
            <w:vAlign w:val="center"/>
            <w:hideMark/>
          </w:tcPr>
          <w:p w14:paraId="517DFF18"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One person household</w:t>
            </w:r>
          </w:p>
        </w:tc>
        <w:tc>
          <w:tcPr>
            <w:tcW w:w="1344" w:type="pct"/>
            <w:tcBorders>
              <w:left w:val="single" w:sz="4" w:space="0" w:color="auto"/>
            </w:tcBorders>
            <w:shd w:val="clear" w:color="auto" w:fill="auto"/>
            <w:noWrap/>
            <w:vAlign w:val="center"/>
            <w:hideMark/>
          </w:tcPr>
          <w:p w14:paraId="69B01DCC"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751" w:type="pct"/>
            <w:shd w:val="clear" w:color="auto" w:fill="auto"/>
            <w:noWrap/>
            <w:vAlign w:val="center"/>
            <w:hideMark/>
          </w:tcPr>
          <w:p w14:paraId="24741266" w14:textId="6E08917E" w:rsidR="00A02AE6" w:rsidRPr="00A02AE6" w:rsidRDefault="00A02AE6" w:rsidP="00A02AE6">
            <w:pPr>
              <w:spacing w:line="240" w:lineRule="auto"/>
              <w:jc w:val="both"/>
              <w:rPr>
                <w:rFonts w:cstheme="minorHAnsi"/>
                <w:b/>
                <w:sz w:val="18"/>
                <w:szCs w:val="18"/>
                <w:highlight w:val="yellow"/>
                <w:lang w:eastAsia="zh-CN"/>
              </w:rPr>
            </w:pPr>
            <w:r w:rsidRPr="00A02AE6">
              <w:rPr>
                <w:sz w:val="18"/>
                <w:szCs w:val="18"/>
              </w:rPr>
              <w:t>32.5%</w:t>
            </w:r>
          </w:p>
        </w:tc>
        <w:tc>
          <w:tcPr>
            <w:tcW w:w="751" w:type="pct"/>
            <w:shd w:val="clear" w:color="auto" w:fill="auto"/>
            <w:noWrap/>
            <w:vAlign w:val="center"/>
            <w:hideMark/>
          </w:tcPr>
          <w:p w14:paraId="13F28D21" w14:textId="18B755C7" w:rsidR="00A02AE6" w:rsidRPr="00A02AE6" w:rsidRDefault="00A02AE6" w:rsidP="00A02AE6">
            <w:pPr>
              <w:spacing w:line="240" w:lineRule="auto"/>
              <w:jc w:val="both"/>
              <w:rPr>
                <w:rFonts w:cstheme="minorHAnsi"/>
                <w:b/>
                <w:sz w:val="18"/>
                <w:szCs w:val="18"/>
                <w:highlight w:val="yellow"/>
                <w:lang w:eastAsia="zh-CN"/>
              </w:rPr>
            </w:pPr>
            <w:r w:rsidRPr="00A02AE6">
              <w:rPr>
                <w:sz w:val="18"/>
                <w:szCs w:val="18"/>
              </w:rPr>
              <w:t>29.8%</w:t>
            </w:r>
          </w:p>
        </w:tc>
        <w:tc>
          <w:tcPr>
            <w:tcW w:w="751" w:type="pct"/>
            <w:shd w:val="clear" w:color="auto" w:fill="auto"/>
            <w:noWrap/>
            <w:vAlign w:val="center"/>
            <w:hideMark/>
          </w:tcPr>
          <w:p w14:paraId="5B1CD5B2" w14:textId="75470E29" w:rsidR="00A02AE6" w:rsidRPr="00A02AE6" w:rsidRDefault="00A02AE6" w:rsidP="00A02AE6">
            <w:pPr>
              <w:spacing w:line="240" w:lineRule="auto"/>
              <w:jc w:val="both"/>
              <w:rPr>
                <w:rFonts w:cstheme="minorHAnsi"/>
                <w:b/>
                <w:sz w:val="18"/>
                <w:szCs w:val="18"/>
                <w:highlight w:val="yellow"/>
                <w:lang w:eastAsia="zh-CN"/>
              </w:rPr>
            </w:pPr>
            <w:r w:rsidRPr="00A02AE6">
              <w:rPr>
                <w:sz w:val="18"/>
                <w:szCs w:val="18"/>
              </w:rPr>
              <w:t>30.2%</w:t>
            </w:r>
          </w:p>
        </w:tc>
      </w:tr>
      <w:tr w:rsidR="00A02AE6" w:rsidRPr="00374C95" w14:paraId="384B1E2A" w14:textId="77777777" w:rsidTr="00063441">
        <w:trPr>
          <w:trHeight w:val="288"/>
        </w:trPr>
        <w:tc>
          <w:tcPr>
            <w:tcW w:w="1403" w:type="pct"/>
            <w:tcBorders>
              <w:top w:val="nil"/>
              <w:left w:val="single" w:sz="4" w:space="0" w:color="auto"/>
              <w:bottom w:val="nil"/>
              <w:right w:val="single" w:sz="4" w:space="0" w:color="auto"/>
            </w:tcBorders>
            <w:shd w:val="clear" w:color="auto" w:fill="auto"/>
            <w:noWrap/>
            <w:vAlign w:val="center"/>
            <w:hideMark/>
          </w:tcPr>
          <w:p w14:paraId="1757AE1A" w14:textId="77777777" w:rsidR="00A02AE6" w:rsidRPr="00374C95" w:rsidRDefault="00A02AE6" w:rsidP="00A02AE6">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14:paraId="19BEE434"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Aged 65 and over</w:t>
            </w:r>
          </w:p>
        </w:tc>
        <w:tc>
          <w:tcPr>
            <w:tcW w:w="751" w:type="pct"/>
            <w:shd w:val="clear" w:color="auto" w:fill="auto"/>
            <w:noWrap/>
            <w:vAlign w:val="center"/>
            <w:hideMark/>
          </w:tcPr>
          <w:p w14:paraId="4B4560AD" w14:textId="41308775"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15.1%</w:t>
            </w:r>
          </w:p>
        </w:tc>
        <w:tc>
          <w:tcPr>
            <w:tcW w:w="751" w:type="pct"/>
            <w:shd w:val="clear" w:color="auto" w:fill="auto"/>
            <w:noWrap/>
            <w:vAlign w:val="center"/>
            <w:hideMark/>
          </w:tcPr>
          <w:p w14:paraId="3F9AB91F" w14:textId="3343BCD7"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16.7%</w:t>
            </w:r>
          </w:p>
        </w:tc>
        <w:tc>
          <w:tcPr>
            <w:tcW w:w="751" w:type="pct"/>
            <w:shd w:val="clear" w:color="auto" w:fill="auto"/>
            <w:noWrap/>
            <w:vAlign w:val="center"/>
            <w:hideMark/>
          </w:tcPr>
          <w:p w14:paraId="2DBC9FCC" w14:textId="3002AABE"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12.4%</w:t>
            </w:r>
          </w:p>
        </w:tc>
      </w:tr>
      <w:tr w:rsidR="00A02AE6" w:rsidRPr="00374C95" w14:paraId="1766EB61" w14:textId="77777777" w:rsidTr="00063441">
        <w:trPr>
          <w:trHeight w:val="288"/>
        </w:trPr>
        <w:tc>
          <w:tcPr>
            <w:tcW w:w="1403" w:type="pct"/>
            <w:tcBorders>
              <w:top w:val="nil"/>
              <w:left w:val="single" w:sz="4" w:space="0" w:color="auto"/>
              <w:bottom w:val="single" w:sz="4" w:space="0" w:color="auto"/>
              <w:right w:val="single" w:sz="4" w:space="0" w:color="auto"/>
            </w:tcBorders>
            <w:shd w:val="clear" w:color="auto" w:fill="auto"/>
            <w:noWrap/>
            <w:vAlign w:val="center"/>
            <w:hideMark/>
          </w:tcPr>
          <w:p w14:paraId="34D10EEB" w14:textId="77777777" w:rsidR="00A02AE6" w:rsidRPr="00374C95" w:rsidRDefault="00A02AE6" w:rsidP="00A02AE6">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14:paraId="53362928"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Other</w:t>
            </w:r>
          </w:p>
        </w:tc>
        <w:tc>
          <w:tcPr>
            <w:tcW w:w="751" w:type="pct"/>
            <w:shd w:val="clear" w:color="auto" w:fill="auto"/>
            <w:noWrap/>
            <w:vAlign w:val="center"/>
            <w:hideMark/>
          </w:tcPr>
          <w:p w14:paraId="5FD5D0ED" w14:textId="1B74AE45"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17.4%</w:t>
            </w:r>
          </w:p>
        </w:tc>
        <w:tc>
          <w:tcPr>
            <w:tcW w:w="751" w:type="pct"/>
            <w:shd w:val="clear" w:color="auto" w:fill="auto"/>
            <w:noWrap/>
            <w:vAlign w:val="center"/>
            <w:hideMark/>
          </w:tcPr>
          <w:p w14:paraId="28BCF56E" w14:textId="6495D494"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13.2%</w:t>
            </w:r>
          </w:p>
        </w:tc>
        <w:tc>
          <w:tcPr>
            <w:tcW w:w="751" w:type="pct"/>
            <w:shd w:val="clear" w:color="auto" w:fill="auto"/>
            <w:noWrap/>
            <w:vAlign w:val="center"/>
            <w:hideMark/>
          </w:tcPr>
          <w:p w14:paraId="742054ED" w14:textId="6F3CB1E3"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17.9%</w:t>
            </w:r>
          </w:p>
        </w:tc>
      </w:tr>
      <w:tr w:rsidR="00A02AE6" w:rsidRPr="00374C95" w14:paraId="0ABEEF0E" w14:textId="77777777" w:rsidTr="00063441">
        <w:trPr>
          <w:trHeight w:val="288"/>
        </w:trPr>
        <w:tc>
          <w:tcPr>
            <w:tcW w:w="1403" w:type="pct"/>
            <w:tcBorders>
              <w:top w:val="single" w:sz="4" w:space="0" w:color="auto"/>
              <w:left w:val="single" w:sz="4" w:space="0" w:color="auto"/>
              <w:bottom w:val="nil"/>
              <w:right w:val="single" w:sz="4" w:space="0" w:color="auto"/>
            </w:tcBorders>
            <w:shd w:val="clear" w:color="auto" w:fill="auto"/>
            <w:noWrap/>
            <w:vAlign w:val="center"/>
            <w:hideMark/>
          </w:tcPr>
          <w:p w14:paraId="6260B5A3"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One family only</w:t>
            </w:r>
          </w:p>
        </w:tc>
        <w:tc>
          <w:tcPr>
            <w:tcW w:w="1344" w:type="pct"/>
            <w:tcBorders>
              <w:left w:val="single" w:sz="4" w:space="0" w:color="auto"/>
            </w:tcBorders>
            <w:shd w:val="clear" w:color="auto" w:fill="auto"/>
            <w:noWrap/>
            <w:vAlign w:val="center"/>
            <w:hideMark/>
          </w:tcPr>
          <w:p w14:paraId="33252068"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751" w:type="pct"/>
            <w:shd w:val="clear" w:color="auto" w:fill="auto"/>
            <w:noWrap/>
            <w:vAlign w:val="center"/>
            <w:hideMark/>
          </w:tcPr>
          <w:p w14:paraId="325908BA" w14:textId="2B01550A" w:rsidR="00A02AE6" w:rsidRPr="00A02AE6" w:rsidRDefault="00A02AE6" w:rsidP="00A02AE6">
            <w:pPr>
              <w:spacing w:line="240" w:lineRule="auto"/>
              <w:jc w:val="both"/>
              <w:rPr>
                <w:rFonts w:cstheme="minorHAnsi"/>
                <w:b/>
                <w:sz w:val="18"/>
                <w:szCs w:val="18"/>
                <w:highlight w:val="yellow"/>
                <w:lang w:eastAsia="zh-CN"/>
              </w:rPr>
            </w:pPr>
            <w:r w:rsidRPr="00A02AE6">
              <w:rPr>
                <w:sz w:val="18"/>
                <w:szCs w:val="18"/>
              </w:rPr>
              <w:t>61.1%</w:t>
            </w:r>
          </w:p>
        </w:tc>
        <w:tc>
          <w:tcPr>
            <w:tcW w:w="751" w:type="pct"/>
            <w:shd w:val="clear" w:color="auto" w:fill="auto"/>
            <w:noWrap/>
            <w:vAlign w:val="center"/>
            <w:hideMark/>
          </w:tcPr>
          <w:p w14:paraId="1CB0A456" w14:textId="3B60A53E" w:rsidR="00A02AE6" w:rsidRPr="00A02AE6" w:rsidRDefault="00A02AE6" w:rsidP="00A02AE6">
            <w:pPr>
              <w:spacing w:line="240" w:lineRule="auto"/>
              <w:jc w:val="both"/>
              <w:rPr>
                <w:rFonts w:cstheme="minorHAnsi"/>
                <w:b/>
                <w:sz w:val="18"/>
                <w:szCs w:val="18"/>
                <w:highlight w:val="yellow"/>
                <w:lang w:eastAsia="zh-CN"/>
              </w:rPr>
            </w:pPr>
            <w:r w:rsidRPr="00A02AE6">
              <w:rPr>
                <w:sz w:val="18"/>
                <w:szCs w:val="18"/>
              </w:rPr>
              <w:t>65.0%</w:t>
            </w:r>
          </w:p>
        </w:tc>
        <w:tc>
          <w:tcPr>
            <w:tcW w:w="751" w:type="pct"/>
            <w:shd w:val="clear" w:color="auto" w:fill="auto"/>
            <w:noWrap/>
            <w:vAlign w:val="center"/>
            <w:hideMark/>
          </w:tcPr>
          <w:p w14:paraId="3F9D25C6" w14:textId="4D47B871" w:rsidR="00A02AE6" w:rsidRPr="00A02AE6" w:rsidRDefault="00A02AE6" w:rsidP="00A02AE6">
            <w:pPr>
              <w:spacing w:line="240" w:lineRule="auto"/>
              <w:jc w:val="both"/>
              <w:rPr>
                <w:rFonts w:cstheme="minorHAnsi"/>
                <w:b/>
                <w:sz w:val="18"/>
                <w:szCs w:val="18"/>
                <w:highlight w:val="yellow"/>
                <w:lang w:eastAsia="zh-CN"/>
              </w:rPr>
            </w:pPr>
            <w:r w:rsidRPr="00A02AE6">
              <w:rPr>
                <w:sz w:val="18"/>
                <w:szCs w:val="18"/>
              </w:rPr>
              <w:t>61.8%</w:t>
            </w:r>
          </w:p>
        </w:tc>
      </w:tr>
      <w:tr w:rsidR="00A02AE6" w:rsidRPr="00374C95" w14:paraId="0BF8E194" w14:textId="77777777" w:rsidTr="00063441">
        <w:trPr>
          <w:trHeight w:val="288"/>
        </w:trPr>
        <w:tc>
          <w:tcPr>
            <w:tcW w:w="1403" w:type="pct"/>
            <w:tcBorders>
              <w:top w:val="nil"/>
              <w:left w:val="single" w:sz="4" w:space="0" w:color="auto"/>
              <w:bottom w:val="nil"/>
              <w:right w:val="single" w:sz="4" w:space="0" w:color="auto"/>
            </w:tcBorders>
            <w:shd w:val="clear" w:color="auto" w:fill="auto"/>
            <w:noWrap/>
            <w:vAlign w:val="center"/>
            <w:hideMark/>
          </w:tcPr>
          <w:p w14:paraId="59E5A28F" w14:textId="77777777" w:rsidR="00A02AE6" w:rsidRPr="00374C95" w:rsidRDefault="00A02AE6" w:rsidP="00A02AE6">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14:paraId="599A23CF"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All aged 65 and over</w:t>
            </w:r>
          </w:p>
        </w:tc>
        <w:tc>
          <w:tcPr>
            <w:tcW w:w="751" w:type="pct"/>
            <w:shd w:val="clear" w:color="auto" w:fill="auto"/>
            <w:noWrap/>
            <w:vAlign w:val="center"/>
            <w:hideMark/>
          </w:tcPr>
          <w:p w14:paraId="095CB091" w14:textId="4A480BF2"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10.8%</w:t>
            </w:r>
          </w:p>
        </w:tc>
        <w:tc>
          <w:tcPr>
            <w:tcW w:w="751" w:type="pct"/>
            <w:shd w:val="clear" w:color="auto" w:fill="auto"/>
            <w:noWrap/>
            <w:vAlign w:val="center"/>
            <w:hideMark/>
          </w:tcPr>
          <w:p w14:paraId="43EE6186" w14:textId="7F5D9A01"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13.9%</w:t>
            </w:r>
          </w:p>
        </w:tc>
        <w:tc>
          <w:tcPr>
            <w:tcW w:w="751" w:type="pct"/>
            <w:shd w:val="clear" w:color="auto" w:fill="auto"/>
            <w:noWrap/>
            <w:vAlign w:val="center"/>
            <w:hideMark/>
          </w:tcPr>
          <w:p w14:paraId="2B202A06" w14:textId="6310CC2E"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8.1%</w:t>
            </w:r>
          </w:p>
        </w:tc>
      </w:tr>
      <w:tr w:rsidR="00A02AE6" w:rsidRPr="00374C95" w14:paraId="034E0799" w14:textId="77777777" w:rsidTr="00063441">
        <w:trPr>
          <w:trHeight w:val="288"/>
        </w:trPr>
        <w:tc>
          <w:tcPr>
            <w:tcW w:w="1403" w:type="pct"/>
            <w:tcBorders>
              <w:top w:val="nil"/>
              <w:left w:val="single" w:sz="4" w:space="0" w:color="auto"/>
              <w:bottom w:val="nil"/>
              <w:right w:val="single" w:sz="4" w:space="0" w:color="auto"/>
            </w:tcBorders>
            <w:shd w:val="clear" w:color="auto" w:fill="auto"/>
            <w:noWrap/>
            <w:vAlign w:val="center"/>
            <w:hideMark/>
          </w:tcPr>
          <w:p w14:paraId="65F2A37C" w14:textId="77777777" w:rsidR="00A02AE6" w:rsidRPr="00374C95" w:rsidRDefault="00A02AE6" w:rsidP="00A02AE6">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14:paraId="2876B925"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With no children</w:t>
            </w:r>
          </w:p>
        </w:tc>
        <w:tc>
          <w:tcPr>
            <w:tcW w:w="751" w:type="pct"/>
            <w:shd w:val="clear" w:color="auto" w:fill="auto"/>
            <w:noWrap/>
            <w:vAlign w:val="center"/>
            <w:hideMark/>
          </w:tcPr>
          <w:p w14:paraId="6DA985E6" w14:textId="45D79C28"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19.1%</w:t>
            </w:r>
          </w:p>
        </w:tc>
        <w:tc>
          <w:tcPr>
            <w:tcW w:w="751" w:type="pct"/>
            <w:shd w:val="clear" w:color="auto" w:fill="auto"/>
            <w:noWrap/>
            <w:vAlign w:val="center"/>
            <w:hideMark/>
          </w:tcPr>
          <w:p w14:paraId="1B82B102" w14:textId="2656583A"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20.0%</w:t>
            </w:r>
          </w:p>
        </w:tc>
        <w:tc>
          <w:tcPr>
            <w:tcW w:w="751" w:type="pct"/>
            <w:shd w:val="clear" w:color="auto" w:fill="auto"/>
            <w:noWrap/>
            <w:vAlign w:val="center"/>
            <w:hideMark/>
          </w:tcPr>
          <w:p w14:paraId="7FCD554A" w14:textId="23A408F1"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17.6%</w:t>
            </w:r>
          </w:p>
        </w:tc>
      </w:tr>
      <w:tr w:rsidR="00A02AE6" w:rsidRPr="00374C95" w14:paraId="4E88366E" w14:textId="77777777" w:rsidTr="00063441">
        <w:trPr>
          <w:trHeight w:val="288"/>
        </w:trPr>
        <w:tc>
          <w:tcPr>
            <w:tcW w:w="1403" w:type="pct"/>
            <w:tcBorders>
              <w:top w:val="nil"/>
              <w:left w:val="single" w:sz="4" w:space="0" w:color="auto"/>
              <w:bottom w:val="nil"/>
              <w:right w:val="single" w:sz="4" w:space="0" w:color="auto"/>
            </w:tcBorders>
            <w:shd w:val="clear" w:color="auto" w:fill="auto"/>
            <w:noWrap/>
            <w:vAlign w:val="center"/>
            <w:hideMark/>
          </w:tcPr>
          <w:p w14:paraId="63863B0B" w14:textId="77777777" w:rsidR="00A02AE6" w:rsidRPr="00374C95" w:rsidRDefault="00A02AE6" w:rsidP="00A02AE6">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14:paraId="2F93F342"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With dependent children</w:t>
            </w:r>
          </w:p>
        </w:tc>
        <w:tc>
          <w:tcPr>
            <w:tcW w:w="751" w:type="pct"/>
            <w:shd w:val="clear" w:color="auto" w:fill="auto"/>
            <w:noWrap/>
            <w:vAlign w:val="center"/>
            <w:hideMark/>
          </w:tcPr>
          <w:p w14:paraId="59E808C9" w14:textId="4B22B4F4"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22.6%</w:t>
            </w:r>
          </w:p>
        </w:tc>
        <w:tc>
          <w:tcPr>
            <w:tcW w:w="751" w:type="pct"/>
            <w:shd w:val="clear" w:color="auto" w:fill="auto"/>
            <w:noWrap/>
            <w:vAlign w:val="center"/>
            <w:hideMark/>
          </w:tcPr>
          <w:p w14:paraId="35A5F0BF" w14:textId="3A17A02F"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22.1%</w:t>
            </w:r>
          </w:p>
        </w:tc>
        <w:tc>
          <w:tcPr>
            <w:tcW w:w="751" w:type="pct"/>
            <w:shd w:val="clear" w:color="auto" w:fill="auto"/>
            <w:noWrap/>
            <w:vAlign w:val="center"/>
            <w:hideMark/>
          </w:tcPr>
          <w:p w14:paraId="3A118E2D" w14:textId="53CE8C97"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26.5%</w:t>
            </w:r>
          </w:p>
        </w:tc>
      </w:tr>
      <w:tr w:rsidR="00A02AE6" w:rsidRPr="00374C95" w14:paraId="1E83FBCC" w14:textId="77777777" w:rsidTr="00063441">
        <w:trPr>
          <w:trHeight w:val="288"/>
        </w:trPr>
        <w:tc>
          <w:tcPr>
            <w:tcW w:w="1403" w:type="pct"/>
            <w:tcBorders>
              <w:top w:val="nil"/>
              <w:left w:val="single" w:sz="4" w:space="0" w:color="auto"/>
              <w:bottom w:val="single" w:sz="4" w:space="0" w:color="auto"/>
              <w:right w:val="single" w:sz="4" w:space="0" w:color="auto"/>
            </w:tcBorders>
            <w:shd w:val="clear" w:color="auto" w:fill="auto"/>
            <w:noWrap/>
            <w:vAlign w:val="center"/>
            <w:hideMark/>
          </w:tcPr>
          <w:p w14:paraId="5A9CEAE2" w14:textId="77777777" w:rsidR="00A02AE6" w:rsidRPr="00374C95" w:rsidRDefault="00A02AE6" w:rsidP="00A02AE6">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14:paraId="50EBC089" w14:textId="62D0023E"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All children Non-Dependent</w:t>
            </w:r>
            <w:r>
              <w:rPr>
                <w:rStyle w:val="FootnoteReference"/>
                <w:rFonts w:cstheme="minorHAnsi"/>
                <w:sz w:val="18"/>
                <w:szCs w:val="18"/>
                <w:lang w:eastAsia="zh-CN"/>
              </w:rPr>
              <w:footnoteReference w:id="47"/>
            </w:r>
          </w:p>
        </w:tc>
        <w:tc>
          <w:tcPr>
            <w:tcW w:w="751" w:type="pct"/>
            <w:shd w:val="clear" w:color="auto" w:fill="auto"/>
            <w:noWrap/>
            <w:vAlign w:val="center"/>
            <w:hideMark/>
          </w:tcPr>
          <w:p w14:paraId="7F4618D7" w14:textId="7D2F93FC"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8.7%</w:t>
            </w:r>
          </w:p>
        </w:tc>
        <w:tc>
          <w:tcPr>
            <w:tcW w:w="751" w:type="pct"/>
            <w:shd w:val="clear" w:color="auto" w:fill="auto"/>
            <w:noWrap/>
            <w:vAlign w:val="center"/>
            <w:hideMark/>
          </w:tcPr>
          <w:p w14:paraId="3F33DE7A" w14:textId="1965BC6B"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8.9%</w:t>
            </w:r>
          </w:p>
        </w:tc>
        <w:tc>
          <w:tcPr>
            <w:tcW w:w="751" w:type="pct"/>
            <w:shd w:val="clear" w:color="auto" w:fill="auto"/>
            <w:noWrap/>
            <w:vAlign w:val="center"/>
            <w:hideMark/>
          </w:tcPr>
          <w:p w14:paraId="43EAB73A" w14:textId="0A1EE47F" w:rsidR="00A02AE6" w:rsidRPr="00A02AE6" w:rsidRDefault="00A02AE6" w:rsidP="00A02AE6">
            <w:pPr>
              <w:spacing w:line="240" w:lineRule="auto"/>
              <w:jc w:val="both"/>
              <w:rPr>
                <w:rFonts w:cstheme="minorHAnsi"/>
                <w:sz w:val="18"/>
                <w:szCs w:val="18"/>
                <w:highlight w:val="yellow"/>
                <w:lang w:eastAsia="zh-CN"/>
              </w:rPr>
            </w:pPr>
            <w:r w:rsidRPr="00A02AE6">
              <w:rPr>
                <w:sz w:val="18"/>
                <w:szCs w:val="18"/>
              </w:rPr>
              <w:t>9.6%</w:t>
            </w:r>
          </w:p>
        </w:tc>
      </w:tr>
      <w:tr w:rsidR="00A02AE6" w:rsidRPr="00374C95" w14:paraId="41A09726" w14:textId="77777777" w:rsidTr="00063441">
        <w:trPr>
          <w:trHeight w:val="288"/>
        </w:trPr>
        <w:tc>
          <w:tcPr>
            <w:tcW w:w="1403" w:type="pct"/>
            <w:tcBorders>
              <w:top w:val="single" w:sz="4" w:space="0" w:color="auto"/>
            </w:tcBorders>
            <w:shd w:val="clear" w:color="auto" w:fill="auto"/>
            <w:noWrap/>
            <w:vAlign w:val="center"/>
            <w:hideMark/>
          </w:tcPr>
          <w:p w14:paraId="485F7EC6"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Other household types</w:t>
            </w:r>
          </w:p>
        </w:tc>
        <w:tc>
          <w:tcPr>
            <w:tcW w:w="1344" w:type="pct"/>
            <w:shd w:val="clear" w:color="auto" w:fill="auto"/>
            <w:noWrap/>
            <w:vAlign w:val="center"/>
            <w:hideMark/>
          </w:tcPr>
          <w:p w14:paraId="128F5E94"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751" w:type="pct"/>
            <w:shd w:val="clear" w:color="auto" w:fill="auto"/>
            <w:noWrap/>
            <w:vAlign w:val="center"/>
            <w:hideMark/>
          </w:tcPr>
          <w:p w14:paraId="212C15C8" w14:textId="0A7AAF42" w:rsidR="00A02AE6" w:rsidRPr="00A02AE6" w:rsidRDefault="00A02AE6" w:rsidP="00A02AE6">
            <w:pPr>
              <w:spacing w:line="240" w:lineRule="auto"/>
              <w:jc w:val="both"/>
              <w:rPr>
                <w:rFonts w:cstheme="minorHAnsi"/>
                <w:b/>
                <w:sz w:val="18"/>
                <w:szCs w:val="18"/>
                <w:highlight w:val="yellow"/>
                <w:lang w:eastAsia="zh-CN"/>
              </w:rPr>
            </w:pPr>
            <w:r w:rsidRPr="00A02AE6">
              <w:rPr>
                <w:sz w:val="18"/>
                <w:szCs w:val="18"/>
              </w:rPr>
              <w:t>6.3%</w:t>
            </w:r>
          </w:p>
        </w:tc>
        <w:tc>
          <w:tcPr>
            <w:tcW w:w="751" w:type="pct"/>
            <w:shd w:val="clear" w:color="auto" w:fill="auto"/>
            <w:noWrap/>
            <w:vAlign w:val="center"/>
            <w:hideMark/>
          </w:tcPr>
          <w:p w14:paraId="334C4E1B" w14:textId="2D4E9E47" w:rsidR="00A02AE6" w:rsidRPr="00A02AE6" w:rsidRDefault="00A02AE6" w:rsidP="00A02AE6">
            <w:pPr>
              <w:spacing w:line="240" w:lineRule="auto"/>
              <w:jc w:val="both"/>
              <w:rPr>
                <w:rFonts w:cstheme="minorHAnsi"/>
                <w:b/>
                <w:sz w:val="18"/>
                <w:szCs w:val="18"/>
                <w:highlight w:val="yellow"/>
                <w:lang w:eastAsia="zh-CN"/>
              </w:rPr>
            </w:pPr>
            <w:r w:rsidRPr="00A02AE6">
              <w:rPr>
                <w:sz w:val="18"/>
                <w:szCs w:val="18"/>
              </w:rPr>
              <w:t>5.2%</w:t>
            </w:r>
          </w:p>
        </w:tc>
        <w:tc>
          <w:tcPr>
            <w:tcW w:w="751" w:type="pct"/>
            <w:shd w:val="clear" w:color="auto" w:fill="auto"/>
            <w:noWrap/>
            <w:vAlign w:val="center"/>
            <w:hideMark/>
          </w:tcPr>
          <w:p w14:paraId="115D4158" w14:textId="6B5FB4C4" w:rsidR="00A02AE6" w:rsidRPr="00A02AE6" w:rsidRDefault="00A02AE6" w:rsidP="00A02AE6">
            <w:pPr>
              <w:spacing w:line="240" w:lineRule="auto"/>
              <w:jc w:val="both"/>
              <w:rPr>
                <w:rFonts w:cstheme="minorHAnsi"/>
                <w:b/>
                <w:sz w:val="18"/>
                <w:szCs w:val="18"/>
                <w:highlight w:val="yellow"/>
                <w:lang w:eastAsia="zh-CN"/>
              </w:rPr>
            </w:pPr>
            <w:r w:rsidRPr="00A02AE6">
              <w:rPr>
                <w:sz w:val="18"/>
                <w:szCs w:val="18"/>
              </w:rPr>
              <w:t>8.0%</w:t>
            </w:r>
          </w:p>
        </w:tc>
      </w:tr>
    </w:tbl>
    <w:p w14:paraId="48D35FE6" w14:textId="77777777" w:rsidR="002C2D5C" w:rsidRPr="00374C95" w:rsidRDefault="002C2D5C" w:rsidP="002C2D5C">
      <w:pPr>
        <w:pStyle w:val="Source"/>
        <w:jc w:val="both"/>
        <w:rPr>
          <w:sz w:val="18"/>
          <w:szCs w:val="18"/>
          <w:lang w:val="en-GB"/>
        </w:rPr>
      </w:pPr>
      <w:r w:rsidRPr="00374C95">
        <w:rPr>
          <w:sz w:val="18"/>
          <w:szCs w:val="18"/>
          <w:lang w:val="en-GB"/>
        </w:rPr>
        <w:t>Source: ONS 2011, AECOM Calculations</w:t>
      </w:r>
    </w:p>
    <w:p w14:paraId="7012E540" w14:textId="3DB8FAD4" w:rsidR="002C2D5C" w:rsidRPr="00CA73BD" w:rsidRDefault="00CA73BD" w:rsidP="00A82210">
      <w:pPr>
        <w:pStyle w:val="ListNumber"/>
        <w:rPr>
          <w:rFonts w:asciiTheme="majorHAnsi" w:hAnsiTheme="majorHAnsi"/>
          <w:b/>
          <w:bCs/>
          <w:color w:val="00B5E2" w:themeColor="accent1"/>
        </w:rPr>
      </w:pPr>
      <w:r>
        <w:t xml:space="preserve">Again, it is relevant to consider rates of change in this indicator during the period between Censuses. </w:t>
      </w:r>
      <w:bookmarkStart w:id="159" w:name="_Hlk63155199"/>
      <w:r>
        <w:t>Between 2001 and 2011,</w:t>
      </w:r>
      <w:r w:rsidR="002C2D5C" w:rsidRPr="00CA73BD">
        <w:t xml:space="preserve"> the</w:t>
      </w:r>
      <w:r>
        <w:t xml:space="preserve"> main changes in household composition were</w:t>
      </w:r>
      <w:r w:rsidR="002C2D5C" w:rsidRPr="00CA73BD">
        <w:t xml:space="preserve"> </w:t>
      </w:r>
      <w:r w:rsidR="00063441">
        <w:t xml:space="preserve">an increase in single households by almost 10% </w:t>
      </w:r>
      <w:bookmarkEnd w:id="159"/>
      <w:r w:rsidR="00063441">
        <w:t xml:space="preserve">and an increase in family households by </w:t>
      </w:r>
      <w:r w:rsidR="0015269D">
        <w:t xml:space="preserve">just </w:t>
      </w:r>
      <w:r w:rsidR="00063441">
        <w:t>under 2%</w:t>
      </w:r>
      <w:r w:rsidR="002C2D5C" w:rsidRPr="00CA73BD">
        <w:t xml:space="preserve"> (see </w:t>
      </w:r>
      <w:r w:rsidR="002C2D5C" w:rsidRPr="00CA73BD">
        <w:fldChar w:fldCharType="begin"/>
      </w:r>
      <w:r w:rsidR="002C2D5C" w:rsidRPr="00CA73BD">
        <w:instrText xml:space="preserve"> REF _Ref2603505 \h  \* MERGEFORMAT </w:instrText>
      </w:r>
      <w:r w:rsidR="002C2D5C" w:rsidRPr="00CA73BD">
        <w:fldChar w:fldCharType="separate"/>
      </w:r>
      <w:r w:rsidR="00603781" w:rsidRPr="002D4F56">
        <w:t xml:space="preserve">Table </w:t>
      </w:r>
      <w:r w:rsidR="00603781">
        <w:rPr>
          <w:noProof/>
        </w:rPr>
        <w:t>5</w:t>
      </w:r>
      <w:r w:rsidR="00603781">
        <w:rPr>
          <w:noProof/>
        </w:rPr>
        <w:noBreakHyphen/>
        <w:t>8</w:t>
      </w:r>
      <w:r w:rsidR="002C2D5C" w:rsidRPr="00CA73BD">
        <w:fldChar w:fldCharType="end"/>
      </w:r>
      <w:r w:rsidR="002C2D5C" w:rsidRPr="00CA73BD">
        <w:t>).</w:t>
      </w:r>
      <w:r w:rsidR="00C057DA">
        <w:t xml:space="preserve"> </w:t>
      </w:r>
      <w:r w:rsidR="00063441">
        <w:t xml:space="preserve">Certain types of family households declined in proportion of the total population. These were family households over the age </w:t>
      </w:r>
      <w:r w:rsidR="0015269D">
        <w:t>o</w:t>
      </w:r>
      <w:r w:rsidR="00063441">
        <w:t>f 65 and those with dependent children. However, these declines were not very significant. Trends were roughly similar across Dorset. The main difference was a smaller increase in younger single households in Weymouth than across Dorset.</w:t>
      </w:r>
    </w:p>
    <w:p w14:paraId="1FF1BB44" w14:textId="44EC6F03" w:rsidR="002C2D5C" w:rsidRPr="002D4F56" w:rsidRDefault="002C2D5C" w:rsidP="002C2D5C">
      <w:pPr>
        <w:pStyle w:val="Caption"/>
        <w:jc w:val="both"/>
        <w:rPr>
          <w:sz w:val="18"/>
          <w:szCs w:val="18"/>
        </w:rPr>
      </w:pPr>
      <w:bookmarkStart w:id="160" w:name="_Ref2603505"/>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8</w:t>
      </w:r>
      <w:r w:rsidR="00BA4C32">
        <w:rPr>
          <w:sz w:val="18"/>
          <w:szCs w:val="18"/>
        </w:rPr>
        <w:fldChar w:fldCharType="end"/>
      </w:r>
      <w:bookmarkEnd w:id="160"/>
      <w:r w:rsidRPr="002D4F56">
        <w:rPr>
          <w:noProof/>
          <w:sz w:val="18"/>
          <w:szCs w:val="18"/>
        </w:rPr>
        <w:t xml:space="preserve">: </w:t>
      </w:r>
      <w:r w:rsidRPr="002D4F56">
        <w:rPr>
          <w:sz w:val="18"/>
          <w:szCs w:val="18"/>
        </w:rPr>
        <w:t xml:space="preserve">Rates of change in household composition, </w:t>
      </w:r>
      <w:r w:rsidR="0015105E">
        <w:rPr>
          <w:sz w:val="18"/>
          <w:szCs w:val="18"/>
        </w:rPr>
        <w:t>Weymouth</w:t>
      </w:r>
      <w:r w:rsidR="002D4F56">
        <w:rPr>
          <w:sz w:val="18"/>
          <w:szCs w:val="18"/>
        </w:rPr>
        <w:t xml:space="preserve">, </w:t>
      </w:r>
      <w:r w:rsidRPr="002D4F56">
        <w:rPr>
          <w:sz w:val="18"/>
          <w:szCs w:val="18"/>
        </w:rPr>
        <w:t>2001-2011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2304"/>
        <w:gridCol w:w="1666"/>
        <w:gridCol w:w="1666"/>
        <w:gridCol w:w="766"/>
        <w:gridCol w:w="906"/>
      </w:tblGrid>
      <w:tr w:rsidR="002C2D5C" w:rsidRPr="00374C95" w14:paraId="72957019" w14:textId="77777777" w:rsidTr="00C378B2">
        <w:trPr>
          <w:trHeight w:val="288"/>
        </w:trPr>
        <w:tc>
          <w:tcPr>
            <w:tcW w:w="1118" w:type="pct"/>
            <w:shd w:val="clear" w:color="auto" w:fill="000000" w:themeFill="text1"/>
            <w:noWrap/>
            <w:vAlign w:val="center"/>
            <w:hideMark/>
          </w:tcPr>
          <w:p w14:paraId="17A9F2A7" w14:textId="77777777" w:rsidR="002C2D5C" w:rsidRPr="00374C95" w:rsidRDefault="002C2D5C" w:rsidP="00C378B2">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Household type</w:t>
            </w:r>
          </w:p>
        </w:tc>
        <w:tc>
          <w:tcPr>
            <w:tcW w:w="1224" w:type="pct"/>
            <w:shd w:val="clear" w:color="auto" w:fill="000000" w:themeFill="text1"/>
            <w:noWrap/>
            <w:vAlign w:val="center"/>
            <w:hideMark/>
          </w:tcPr>
          <w:p w14:paraId="6DCEA710" w14:textId="77777777" w:rsidR="002C2D5C" w:rsidRPr="00374C95" w:rsidRDefault="002C2D5C" w:rsidP="00C378B2">
            <w:pPr>
              <w:spacing w:line="240" w:lineRule="auto"/>
              <w:jc w:val="both"/>
              <w:rPr>
                <w:rFonts w:cstheme="minorHAnsi"/>
                <w:b/>
                <w:bCs/>
                <w:color w:val="FFFFFF" w:themeColor="background1"/>
                <w:sz w:val="18"/>
                <w:szCs w:val="18"/>
                <w:lang w:eastAsia="zh-CN"/>
              </w:rPr>
            </w:pPr>
          </w:p>
        </w:tc>
        <w:tc>
          <w:tcPr>
            <w:tcW w:w="2177" w:type="pct"/>
            <w:gridSpan w:val="3"/>
            <w:shd w:val="clear" w:color="auto" w:fill="000000" w:themeFill="text1"/>
            <w:noWrap/>
            <w:vAlign w:val="center"/>
            <w:hideMark/>
          </w:tcPr>
          <w:p w14:paraId="2BEC0C12" w14:textId="77777777" w:rsidR="002C2D5C" w:rsidRPr="00374C95" w:rsidRDefault="002C2D5C" w:rsidP="00C378B2">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Percentage change, 2001-2011</w:t>
            </w:r>
          </w:p>
        </w:tc>
        <w:tc>
          <w:tcPr>
            <w:tcW w:w="481" w:type="pct"/>
            <w:shd w:val="clear" w:color="auto" w:fill="000000" w:themeFill="text1"/>
            <w:noWrap/>
            <w:vAlign w:val="center"/>
            <w:hideMark/>
          </w:tcPr>
          <w:p w14:paraId="1997E0BD" w14:textId="77777777" w:rsidR="002C2D5C" w:rsidRPr="00374C95" w:rsidRDefault="002C2D5C" w:rsidP="00C378B2">
            <w:pPr>
              <w:spacing w:line="240" w:lineRule="auto"/>
              <w:jc w:val="both"/>
              <w:rPr>
                <w:rFonts w:cstheme="minorHAnsi"/>
                <w:b/>
                <w:bCs/>
                <w:color w:val="FFFFFF" w:themeColor="background1"/>
                <w:sz w:val="18"/>
                <w:szCs w:val="18"/>
                <w:lang w:eastAsia="zh-CN"/>
              </w:rPr>
            </w:pPr>
          </w:p>
        </w:tc>
      </w:tr>
      <w:tr w:rsidR="00A02AE6" w:rsidRPr="00374C95" w14:paraId="2BFE1D94" w14:textId="77777777" w:rsidTr="00C378B2">
        <w:trPr>
          <w:trHeight w:val="288"/>
        </w:trPr>
        <w:tc>
          <w:tcPr>
            <w:tcW w:w="1118" w:type="pct"/>
            <w:tcBorders>
              <w:bottom w:val="single" w:sz="4" w:space="0" w:color="auto"/>
            </w:tcBorders>
            <w:shd w:val="clear" w:color="auto" w:fill="000000" w:themeFill="text1"/>
            <w:noWrap/>
            <w:vAlign w:val="center"/>
            <w:hideMark/>
          </w:tcPr>
          <w:p w14:paraId="69FA6D2F" w14:textId="77777777" w:rsidR="00A02AE6" w:rsidRPr="00374C95" w:rsidRDefault="00A02AE6" w:rsidP="00A02AE6">
            <w:pPr>
              <w:spacing w:line="240" w:lineRule="auto"/>
              <w:jc w:val="both"/>
              <w:rPr>
                <w:rFonts w:cstheme="minorHAnsi"/>
                <w:color w:val="FFFFFF" w:themeColor="background1"/>
                <w:sz w:val="18"/>
                <w:szCs w:val="18"/>
                <w:lang w:eastAsia="zh-CN"/>
              </w:rPr>
            </w:pPr>
          </w:p>
        </w:tc>
        <w:tc>
          <w:tcPr>
            <w:tcW w:w="1224" w:type="pct"/>
            <w:shd w:val="clear" w:color="auto" w:fill="000000" w:themeFill="text1"/>
            <w:noWrap/>
            <w:vAlign w:val="center"/>
            <w:hideMark/>
          </w:tcPr>
          <w:p w14:paraId="473B98E3" w14:textId="77777777" w:rsidR="00A02AE6" w:rsidRPr="00374C95" w:rsidRDefault="00A02AE6" w:rsidP="00A02AE6">
            <w:pPr>
              <w:spacing w:line="240" w:lineRule="auto"/>
              <w:jc w:val="both"/>
              <w:rPr>
                <w:rFonts w:cstheme="minorHAnsi"/>
                <w:color w:val="FFFFFF" w:themeColor="background1"/>
                <w:sz w:val="18"/>
                <w:szCs w:val="18"/>
                <w:lang w:eastAsia="zh-CN"/>
              </w:rPr>
            </w:pPr>
          </w:p>
        </w:tc>
        <w:tc>
          <w:tcPr>
            <w:tcW w:w="885" w:type="pct"/>
            <w:shd w:val="clear" w:color="auto" w:fill="000000" w:themeFill="text1"/>
            <w:noWrap/>
            <w:vAlign w:val="center"/>
            <w:hideMark/>
          </w:tcPr>
          <w:p w14:paraId="54651D1F" w14:textId="45E2FF97" w:rsidR="00A02AE6" w:rsidRPr="00A02AE6" w:rsidRDefault="00A02AE6" w:rsidP="00A02AE6">
            <w:pPr>
              <w:spacing w:line="240" w:lineRule="auto"/>
              <w:jc w:val="both"/>
              <w:rPr>
                <w:rFonts w:cstheme="minorHAnsi"/>
                <w:b/>
                <w:bCs/>
                <w:color w:val="FFFFFF" w:themeColor="background1"/>
                <w:sz w:val="18"/>
                <w:szCs w:val="18"/>
                <w:lang w:eastAsia="zh-CN"/>
              </w:rPr>
            </w:pPr>
            <w:r w:rsidRPr="00A02AE6">
              <w:rPr>
                <w:b/>
                <w:bCs/>
                <w:color w:val="FFFFFF"/>
                <w:sz w:val="18"/>
                <w:szCs w:val="18"/>
              </w:rPr>
              <w:t>Weymouth</w:t>
            </w:r>
          </w:p>
        </w:tc>
        <w:tc>
          <w:tcPr>
            <w:tcW w:w="885" w:type="pct"/>
            <w:shd w:val="clear" w:color="auto" w:fill="000000" w:themeFill="text1"/>
            <w:noWrap/>
            <w:vAlign w:val="center"/>
            <w:hideMark/>
          </w:tcPr>
          <w:p w14:paraId="461B143D" w14:textId="2C83760D" w:rsidR="00A02AE6" w:rsidRPr="00A02AE6" w:rsidRDefault="00A02AE6" w:rsidP="00A02AE6">
            <w:pPr>
              <w:spacing w:line="240" w:lineRule="auto"/>
              <w:jc w:val="both"/>
              <w:rPr>
                <w:rFonts w:cstheme="minorHAnsi"/>
                <w:b/>
                <w:bCs/>
                <w:color w:val="FFFFFF" w:themeColor="background1"/>
                <w:sz w:val="18"/>
                <w:szCs w:val="18"/>
                <w:lang w:eastAsia="zh-CN"/>
              </w:rPr>
            </w:pPr>
            <w:r w:rsidRPr="00A02AE6">
              <w:rPr>
                <w:b/>
                <w:bCs/>
                <w:color w:val="FFFFFF"/>
                <w:sz w:val="18"/>
                <w:szCs w:val="18"/>
              </w:rPr>
              <w:t>Dorset</w:t>
            </w:r>
            <w:r w:rsidR="0099461D">
              <w:rPr>
                <w:rStyle w:val="FootnoteReference"/>
                <w:b/>
                <w:bCs/>
                <w:sz w:val="18"/>
                <w:szCs w:val="18"/>
              </w:rPr>
              <w:footnoteReference w:id="48"/>
            </w:r>
          </w:p>
        </w:tc>
        <w:tc>
          <w:tcPr>
            <w:tcW w:w="888" w:type="pct"/>
            <w:gridSpan w:val="2"/>
            <w:shd w:val="clear" w:color="auto" w:fill="000000" w:themeFill="text1"/>
            <w:noWrap/>
            <w:vAlign w:val="center"/>
            <w:hideMark/>
          </w:tcPr>
          <w:p w14:paraId="17E44A2B" w14:textId="21EE0D80" w:rsidR="00A02AE6" w:rsidRPr="00A02AE6" w:rsidRDefault="00A02AE6" w:rsidP="00A02AE6">
            <w:pPr>
              <w:spacing w:line="240" w:lineRule="auto"/>
              <w:jc w:val="both"/>
              <w:rPr>
                <w:rFonts w:cstheme="minorHAnsi"/>
                <w:b/>
                <w:bCs/>
                <w:color w:val="FFFFFF" w:themeColor="background1"/>
                <w:sz w:val="18"/>
                <w:szCs w:val="18"/>
                <w:lang w:eastAsia="zh-CN"/>
              </w:rPr>
            </w:pPr>
            <w:r w:rsidRPr="00A02AE6">
              <w:rPr>
                <w:b/>
                <w:bCs/>
                <w:color w:val="FFFFFF"/>
                <w:sz w:val="18"/>
                <w:szCs w:val="18"/>
              </w:rPr>
              <w:t>England</w:t>
            </w:r>
          </w:p>
        </w:tc>
      </w:tr>
      <w:tr w:rsidR="00A02AE6" w:rsidRPr="00374C95" w14:paraId="35B43806" w14:textId="77777777" w:rsidTr="00063441">
        <w:trPr>
          <w:trHeight w:val="288"/>
        </w:trPr>
        <w:tc>
          <w:tcPr>
            <w:tcW w:w="1118" w:type="pct"/>
            <w:tcBorders>
              <w:top w:val="single" w:sz="4" w:space="0" w:color="auto"/>
              <w:left w:val="single" w:sz="4" w:space="0" w:color="auto"/>
              <w:bottom w:val="nil"/>
              <w:right w:val="single" w:sz="4" w:space="0" w:color="auto"/>
            </w:tcBorders>
            <w:shd w:val="clear" w:color="auto" w:fill="auto"/>
            <w:noWrap/>
            <w:vAlign w:val="center"/>
            <w:hideMark/>
          </w:tcPr>
          <w:p w14:paraId="4EC174F5" w14:textId="25AAE7EC" w:rsidR="00A02AE6" w:rsidRPr="00374C95" w:rsidRDefault="00A02AE6" w:rsidP="00A02AE6">
            <w:pPr>
              <w:spacing w:line="240" w:lineRule="auto"/>
              <w:rPr>
                <w:rFonts w:cstheme="minorHAnsi"/>
                <w:b/>
                <w:sz w:val="18"/>
                <w:szCs w:val="18"/>
                <w:lang w:eastAsia="zh-CN"/>
              </w:rPr>
            </w:pPr>
            <w:r w:rsidRPr="00374C95">
              <w:rPr>
                <w:rFonts w:cstheme="minorHAnsi"/>
                <w:b/>
                <w:sz w:val="18"/>
                <w:szCs w:val="18"/>
                <w:lang w:eastAsia="zh-CN"/>
              </w:rPr>
              <w:t>One</w:t>
            </w:r>
            <w:r>
              <w:rPr>
                <w:rFonts w:cstheme="minorHAnsi"/>
                <w:b/>
                <w:sz w:val="18"/>
                <w:szCs w:val="18"/>
                <w:lang w:eastAsia="zh-CN"/>
              </w:rPr>
              <w:t xml:space="preserve"> </w:t>
            </w:r>
            <w:r w:rsidRPr="00374C95">
              <w:rPr>
                <w:rFonts w:cstheme="minorHAnsi"/>
                <w:b/>
                <w:sz w:val="18"/>
                <w:szCs w:val="18"/>
                <w:lang w:eastAsia="zh-CN"/>
              </w:rPr>
              <w:t>person household</w:t>
            </w:r>
          </w:p>
        </w:tc>
        <w:tc>
          <w:tcPr>
            <w:tcW w:w="1224" w:type="pct"/>
            <w:tcBorders>
              <w:left w:val="single" w:sz="4" w:space="0" w:color="auto"/>
            </w:tcBorders>
            <w:shd w:val="clear" w:color="auto" w:fill="auto"/>
            <w:noWrap/>
            <w:vAlign w:val="center"/>
            <w:hideMark/>
          </w:tcPr>
          <w:p w14:paraId="6EB0ABB3"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885" w:type="pct"/>
            <w:shd w:val="clear" w:color="auto" w:fill="auto"/>
            <w:noWrap/>
            <w:vAlign w:val="center"/>
            <w:hideMark/>
          </w:tcPr>
          <w:p w14:paraId="0AB7E3EC" w14:textId="492C894B" w:rsidR="00A02AE6" w:rsidRPr="00A02AE6" w:rsidRDefault="00A02AE6" w:rsidP="00A02AE6">
            <w:pPr>
              <w:spacing w:line="240" w:lineRule="auto"/>
              <w:jc w:val="both"/>
              <w:rPr>
                <w:rFonts w:cstheme="minorHAnsi"/>
                <w:b/>
                <w:sz w:val="18"/>
                <w:szCs w:val="18"/>
                <w:lang w:eastAsia="zh-CN"/>
              </w:rPr>
            </w:pPr>
            <w:r w:rsidRPr="00A02AE6">
              <w:rPr>
                <w:sz w:val="18"/>
                <w:szCs w:val="18"/>
              </w:rPr>
              <w:t>9.4%</w:t>
            </w:r>
          </w:p>
        </w:tc>
        <w:tc>
          <w:tcPr>
            <w:tcW w:w="885" w:type="pct"/>
            <w:shd w:val="clear" w:color="auto" w:fill="auto"/>
            <w:noWrap/>
            <w:vAlign w:val="center"/>
            <w:hideMark/>
          </w:tcPr>
          <w:p w14:paraId="4BAF8BCE" w14:textId="109F3D74" w:rsidR="00A02AE6" w:rsidRPr="00A02AE6" w:rsidRDefault="00A02AE6" w:rsidP="00A02AE6">
            <w:pPr>
              <w:spacing w:line="240" w:lineRule="auto"/>
              <w:jc w:val="both"/>
              <w:rPr>
                <w:rFonts w:cstheme="minorHAnsi"/>
                <w:b/>
                <w:sz w:val="18"/>
                <w:szCs w:val="18"/>
                <w:lang w:eastAsia="zh-CN"/>
              </w:rPr>
            </w:pPr>
            <w:r w:rsidRPr="00A02AE6">
              <w:rPr>
                <w:sz w:val="18"/>
                <w:szCs w:val="18"/>
              </w:rPr>
              <w:t>11.1%</w:t>
            </w:r>
          </w:p>
        </w:tc>
        <w:tc>
          <w:tcPr>
            <w:tcW w:w="888" w:type="pct"/>
            <w:gridSpan w:val="2"/>
            <w:shd w:val="clear" w:color="auto" w:fill="auto"/>
            <w:noWrap/>
            <w:vAlign w:val="center"/>
            <w:hideMark/>
          </w:tcPr>
          <w:p w14:paraId="28934B15" w14:textId="0EAFC903" w:rsidR="00A02AE6" w:rsidRPr="00A02AE6" w:rsidRDefault="00A02AE6" w:rsidP="00A02AE6">
            <w:pPr>
              <w:spacing w:line="240" w:lineRule="auto"/>
              <w:jc w:val="both"/>
              <w:rPr>
                <w:rFonts w:cstheme="minorHAnsi"/>
                <w:b/>
                <w:sz w:val="18"/>
                <w:szCs w:val="18"/>
                <w:lang w:eastAsia="zh-CN"/>
              </w:rPr>
            </w:pPr>
            <w:r w:rsidRPr="00A02AE6">
              <w:rPr>
                <w:sz w:val="18"/>
                <w:szCs w:val="18"/>
              </w:rPr>
              <w:t>8.4%</w:t>
            </w:r>
          </w:p>
        </w:tc>
      </w:tr>
      <w:tr w:rsidR="00A02AE6" w:rsidRPr="00374C95" w14:paraId="751AE876" w14:textId="77777777" w:rsidTr="00063441">
        <w:trPr>
          <w:trHeight w:val="288"/>
        </w:trPr>
        <w:tc>
          <w:tcPr>
            <w:tcW w:w="1118" w:type="pct"/>
            <w:tcBorders>
              <w:top w:val="nil"/>
              <w:left w:val="single" w:sz="4" w:space="0" w:color="auto"/>
              <w:bottom w:val="nil"/>
              <w:right w:val="single" w:sz="4" w:space="0" w:color="auto"/>
            </w:tcBorders>
            <w:shd w:val="clear" w:color="auto" w:fill="auto"/>
            <w:noWrap/>
            <w:vAlign w:val="center"/>
            <w:hideMark/>
          </w:tcPr>
          <w:p w14:paraId="5DD61E63" w14:textId="77777777" w:rsidR="00A02AE6" w:rsidRPr="00374C95" w:rsidRDefault="00A02AE6" w:rsidP="00A02AE6">
            <w:pPr>
              <w:spacing w:line="240" w:lineRule="auto"/>
              <w:jc w:val="both"/>
              <w:rPr>
                <w:rFonts w:cstheme="minorHAnsi"/>
                <w:sz w:val="18"/>
                <w:szCs w:val="18"/>
                <w:lang w:eastAsia="zh-CN"/>
              </w:rPr>
            </w:pPr>
          </w:p>
        </w:tc>
        <w:tc>
          <w:tcPr>
            <w:tcW w:w="1224" w:type="pct"/>
            <w:tcBorders>
              <w:left w:val="single" w:sz="4" w:space="0" w:color="auto"/>
            </w:tcBorders>
            <w:shd w:val="clear" w:color="auto" w:fill="auto"/>
            <w:noWrap/>
            <w:vAlign w:val="center"/>
            <w:hideMark/>
          </w:tcPr>
          <w:p w14:paraId="7A589E7E"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Aged 65 and over</w:t>
            </w:r>
          </w:p>
        </w:tc>
        <w:tc>
          <w:tcPr>
            <w:tcW w:w="885" w:type="pct"/>
            <w:shd w:val="clear" w:color="auto" w:fill="auto"/>
            <w:noWrap/>
            <w:vAlign w:val="center"/>
            <w:hideMark/>
          </w:tcPr>
          <w:p w14:paraId="34C54282" w14:textId="271CE0B0" w:rsidR="00A02AE6" w:rsidRPr="00A02AE6" w:rsidRDefault="00A02AE6" w:rsidP="00A02AE6">
            <w:pPr>
              <w:spacing w:line="240" w:lineRule="auto"/>
              <w:jc w:val="both"/>
              <w:rPr>
                <w:rFonts w:cstheme="minorHAnsi"/>
                <w:sz w:val="18"/>
                <w:szCs w:val="18"/>
                <w:lang w:eastAsia="zh-CN"/>
              </w:rPr>
            </w:pPr>
            <w:r w:rsidRPr="00A02AE6">
              <w:rPr>
                <w:sz w:val="18"/>
                <w:szCs w:val="18"/>
              </w:rPr>
              <w:t>0.4%</w:t>
            </w:r>
          </w:p>
        </w:tc>
        <w:tc>
          <w:tcPr>
            <w:tcW w:w="885" w:type="pct"/>
            <w:shd w:val="clear" w:color="auto" w:fill="auto"/>
            <w:noWrap/>
            <w:vAlign w:val="center"/>
            <w:hideMark/>
          </w:tcPr>
          <w:p w14:paraId="0E953D16" w14:textId="7045ABF9" w:rsidR="00A02AE6" w:rsidRPr="00A02AE6" w:rsidRDefault="00A02AE6" w:rsidP="00A02AE6">
            <w:pPr>
              <w:spacing w:line="240" w:lineRule="auto"/>
              <w:jc w:val="both"/>
              <w:rPr>
                <w:rFonts w:cstheme="minorHAnsi"/>
                <w:sz w:val="18"/>
                <w:szCs w:val="18"/>
                <w:lang w:eastAsia="zh-CN"/>
              </w:rPr>
            </w:pPr>
            <w:r w:rsidRPr="00A02AE6">
              <w:rPr>
                <w:sz w:val="18"/>
                <w:szCs w:val="18"/>
              </w:rPr>
              <w:t>1.2%</w:t>
            </w:r>
          </w:p>
        </w:tc>
        <w:tc>
          <w:tcPr>
            <w:tcW w:w="888" w:type="pct"/>
            <w:gridSpan w:val="2"/>
            <w:shd w:val="clear" w:color="auto" w:fill="auto"/>
            <w:noWrap/>
            <w:vAlign w:val="center"/>
            <w:hideMark/>
          </w:tcPr>
          <w:p w14:paraId="0E552FE4" w14:textId="1DFAA6D5" w:rsidR="00A02AE6" w:rsidRPr="00A02AE6" w:rsidRDefault="00A02AE6" w:rsidP="00A02AE6">
            <w:pPr>
              <w:spacing w:line="240" w:lineRule="auto"/>
              <w:jc w:val="both"/>
              <w:rPr>
                <w:rFonts w:cstheme="minorHAnsi"/>
                <w:sz w:val="18"/>
                <w:szCs w:val="18"/>
                <w:lang w:eastAsia="zh-CN"/>
              </w:rPr>
            </w:pPr>
            <w:r w:rsidRPr="00A02AE6">
              <w:rPr>
                <w:sz w:val="18"/>
                <w:szCs w:val="18"/>
              </w:rPr>
              <w:t>-7.3%</w:t>
            </w:r>
          </w:p>
        </w:tc>
      </w:tr>
      <w:tr w:rsidR="00A02AE6" w:rsidRPr="00374C95" w14:paraId="497966A3" w14:textId="77777777" w:rsidTr="00063441">
        <w:trPr>
          <w:trHeight w:val="288"/>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14:paraId="2454DE45" w14:textId="77777777" w:rsidR="00A02AE6" w:rsidRPr="00374C95" w:rsidRDefault="00A02AE6" w:rsidP="00A02AE6">
            <w:pPr>
              <w:spacing w:line="240" w:lineRule="auto"/>
              <w:jc w:val="both"/>
              <w:rPr>
                <w:rFonts w:cstheme="minorHAnsi"/>
                <w:sz w:val="18"/>
                <w:szCs w:val="18"/>
                <w:lang w:eastAsia="zh-CN"/>
              </w:rPr>
            </w:pPr>
          </w:p>
        </w:tc>
        <w:tc>
          <w:tcPr>
            <w:tcW w:w="1224" w:type="pct"/>
            <w:tcBorders>
              <w:left w:val="single" w:sz="4" w:space="0" w:color="auto"/>
            </w:tcBorders>
            <w:shd w:val="clear" w:color="auto" w:fill="auto"/>
            <w:noWrap/>
            <w:vAlign w:val="center"/>
            <w:hideMark/>
          </w:tcPr>
          <w:p w14:paraId="66DFCA04"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Other</w:t>
            </w:r>
          </w:p>
        </w:tc>
        <w:tc>
          <w:tcPr>
            <w:tcW w:w="885" w:type="pct"/>
            <w:shd w:val="clear" w:color="auto" w:fill="auto"/>
            <w:noWrap/>
            <w:vAlign w:val="center"/>
            <w:hideMark/>
          </w:tcPr>
          <w:p w14:paraId="3255EA33" w14:textId="0D02DEC6" w:rsidR="00A02AE6" w:rsidRPr="00A02AE6" w:rsidRDefault="00A02AE6" w:rsidP="00A02AE6">
            <w:pPr>
              <w:spacing w:line="240" w:lineRule="auto"/>
              <w:jc w:val="both"/>
              <w:rPr>
                <w:rFonts w:cstheme="minorHAnsi"/>
                <w:sz w:val="18"/>
                <w:szCs w:val="18"/>
                <w:lang w:eastAsia="zh-CN"/>
              </w:rPr>
            </w:pPr>
            <w:r w:rsidRPr="00A02AE6">
              <w:rPr>
                <w:sz w:val="18"/>
                <w:szCs w:val="18"/>
              </w:rPr>
              <w:t>18.7%</w:t>
            </w:r>
          </w:p>
        </w:tc>
        <w:tc>
          <w:tcPr>
            <w:tcW w:w="885" w:type="pct"/>
            <w:shd w:val="clear" w:color="auto" w:fill="auto"/>
            <w:noWrap/>
            <w:vAlign w:val="center"/>
            <w:hideMark/>
          </w:tcPr>
          <w:p w14:paraId="25066BD7" w14:textId="3AE696C6" w:rsidR="00A02AE6" w:rsidRPr="00A02AE6" w:rsidRDefault="00A02AE6" w:rsidP="00A02AE6">
            <w:pPr>
              <w:spacing w:line="240" w:lineRule="auto"/>
              <w:jc w:val="both"/>
              <w:rPr>
                <w:rFonts w:cstheme="minorHAnsi"/>
                <w:sz w:val="18"/>
                <w:szCs w:val="18"/>
                <w:lang w:eastAsia="zh-CN"/>
              </w:rPr>
            </w:pPr>
            <w:r w:rsidRPr="00A02AE6">
              <w:rPr>
                <w:sz w:val="18"/>
                <w:szCs w:val="18"/>
              </w:rPr>
              <w:t>26.9%</w:t>
            </w:r>
          </w:p>
        </w:tc>
        <w:tc>
          <w:tcPr>
            <w:tcW w:w="888" w:type="pct"/>
            <w:gridSpan w:val="2"/>
            <w:shd w:val="clear" w:color="auto" w:fill="auto"/>
            <w:noWrap/>
            <w:vAlign w:val="center"/>
            <w:hideMark/>
          </w:tcPr>
          <w:p w14:paraId="0263CB42" w14:textId="2CCBA945" w:rsidR="00A02AE6" w:rsidRPr="00A02AE6" w:rsidRDefault="00A02AE6" w:rsidP="00A02AE6">
            <w:pPr>
              <w:spacing w:line="240" w:lineRule="auto"/>
              <w:jc w:val="both"/>
              <w:rPr>
                <w:rFonts w:cstheme="minorHAnsi"/>
                <w:sz w:val="18"/>
                <w:szCs w:val="18"/>
                <w:lang w:eastAsia="zh-CN"/>
              </w:rPr>
            </w:pPr>
            <w:r w:rsidRPr="00A02AE6">
              <w:rPr>
                <w:sz w:val="18"/>
                <w:szCs w:val="18"/>
              </w:rPr>
              <w:t>22.7%</w:t>
            </w:r>
          </w:p>
        </w:tc>
      </w:tr>
      <w:tr w:rsidR="00A02AE6" w:rsidRPr="00374C95" w14:paraId="03D98B1D" w14:textId="77777777" w:rsidTr="00063441">
        <w:trPr>
          <w:trHeight w:val="288"/>
        </w:trPr>
        <w:tc>
          <w:tcPr>
            <w:tcW w:w="1118" w:type="pct"/>
            <w:tcBorders>
              <w:top w:val="single" w:sz="4" w:space="0" w:color="auto"/>
              <w:left w:val="single" w:sz="4" w:space="0" w:color="auto"/>
              <w:bottom w:val="nil"/>
              <w:right w:val="single" w:sz="4" w:space="0" w:color="auto"/>
            </w:tcBorders>
            <w:shd w:val="clear" w:color="auto" w:fill="auto"/>
            <w:noWrap/>
            <w:vAlign w:val="center"/>
            <w:hideMark/>
          </w:tcPr>
          <w:p w14:paraId="516355E1"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One family only</w:t>
            </w:r>
          </w:p>
        </w:tc>
        <w:tc>
          <w:tcPr>
            <w:tcW w:w="1224" w:type="pct"/>
            <w:tcBorders>
              <w:left w:val="single" w:sz="4" w:space="0" w:color="auto"/>
            </w:tcBorders>
            <w:shd w:val="clear" w:color="auto" w:fill="auto"/>
            <w:noWrap/>
            <w:vAlign w:val="center"/>
            <w:hideMark/>
          </w:tcPr>
          <w:p w14:paraId="6AE28156"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885" w:type="pct"/>
            <w:shd w:val="clear" w:color="auto" w:fill="auto"/>
            <w:noWrap/>
            <w:vAlign w:val="center"/>
            <w:hideMark/>
          </w:tcPr>
          <w:p w14:paraId="0E88AFF7" w14:textId="7F2FBC11" w:rsidR="00A02AE6" w:rsidRPr="00A02AE6" w:rsidRDefault="00A02AE6" w:rsidP="00A02AE6">
            <w:pPr>
              <w:spacing w:line="240" w:lineRule="auto"/>
              <w:jc w:val="both"/>
              <w:rPr>
                <w:rFonts w:cstheme="minorHAnsi"/>
                <w:b/>
                <w:sz w:val="18"/>
                <w:szCs w:val="18"/>
                <w:lang w:eastAsia="zh-CN"/>
              </w:rPr>
            </w:pPr>
            <w:r w:rsidRPr="00A02AE6">
              <w:rPr>
                <w:sz w:val="18"/>
                <w:szCs w:val="18"/>
              </w:rPr>
              <w:t>1.8%</w:t>
            </w:r>
          </w:p>
        </w:tc>
        <w:tc>
          <w:tcPr>
            <w:tcW w:w="885" w:type="pct"/>
            <w:shd w:val="clear" w:color="auto" w:fill="auto"/>
            <w:noWrap/>
            <w:vAlign w:val="center"/>
            <w:hideMark/>
          </w:tcPr>
          <w:p w14:paraId="2CD3439D" w14:textId="1BC47F17" w:rsidR="00A02AE6" w:rsidRPr="00A02AE6" w:rsidRDefault="00A02AE6" w:rsidP="00A02AE6">
            <w:pPr>
              <w:spacing w:line="240" w:lineRule="auto"/>
              <w:jc w:val="both"/>
              <w:rPr>
                <w:rFonts w:cstheme="minorHAnsi"/>
                <w:b/>
                <w:sz w:val="18"/>
                <w:szCs w:val="18"/>
                <w:lang w:eastAsia="zh-CN"/>
              </w:rPr>
            </w:pPr>
            <w:r w:rsidRPr="00A02AE6">
              <w:rPr>
                <w:sz w:val="18"/>
                <w:szCs w:val="18"/>
              </w:rPr>
              <w:t>4.6%</w:t>
            </w:r>
          </w:p>
        </w:tc>
        <w:tc>
          <w:tcPr>
            <w:tcW w:w="888" w:type="pct"/>
            <w:gridSpan w:val="2"/>
            <w:shd w:val="clear" w:color="auto" w:fill="auto"/>
            <w:noWrap/>
            <w:vAlign w:val="center"/>
            <w:hideMark/>
          </w:tcPr>
          <w:p w14:paraId="3FD5B04F" w14:textId="7789EE6A" w:rsidR="00A02AE6" w:rsidRPr="00A02AE6" w:rsidRDefault="00A02AE6" w:rsidP="00A02AE6">
            <w:pPr>
              <w:spacing w:line="240" w:lineRule="auto"/>
              <w:jc w:val="both"/>
              <w:rPr>
                <w:rFonts w:cstheme="minorHAnsi"/>
                <w:b/>
                <w:sz w:val="18"/>
                <w:szCs w:val="18"/>
                <w:lang w:eastAsia="zh-CN"/>
              </w:rPr>
            </w:pPr>
            <w:r w:rsidRPr="00A02AE6">
              <w:rPr>
                <w:sz w:val="18"/>
                <w:szCs w:val="18"/>
              </w:rPr>
              <w:t>5.4%</w:t>
            </w:r>
          </w:p>
        </w:tc>
      </w:tr>
      <w:tr w:rsidR="00A02AE6" w:rsidRPr="00374C95" w14:paraId="3D07298C" w14:textId="77777777" w:rsidTr="00063441">
        <w:trPr>
          <w:trHeight w:val="288"/>
        </w:trPr>
        <w:tc>
          <w:tcPr>
            <w:tcW w:w="1118" w:type="pct"/>
            <w:tcBorders>
              <w:top w:val="nil"/>
              <w:left w:val="single" w:sz="4" w:space="0" w:color="auto"/>
              <w:bottom w:val="nil"/>
              <w:right w:val="single" w:sz="4" w:space="0" w:color="auto"/>
            </w:tcBorders>
            <w:shd w:val="clear" w:color="auto" w:fill="auto"/>
            <w:noWrap/>
            <w:vAlign w:val="center"/>
            <w:hideMark/>
          </w:tcPr>
          <w:p w14:paraId="4BBA84CB" w14:textId="77777777" w:rsidR="00A02AE6" w:rsidRPr="00374C95" w:rsidRDefault="00A02AE6" w:rsidP="00A02AE6">
            <w:pPr>
              <w:spacing w:line="240" w:lineRule="auto"/>
              <w:jc w:val="both"/>
              <w:rPr>
                <w:rFonts w:cstheme="minorHAnsi"/>
                <w:sz w:val="18"/>
                <w:szCs w:val="18"/>
                <w:lang w:eastAsia="zh-CN"/>
              </w:rPr>
            </w:pPr>
          </w:p>
        </w:tc>
        <w:tc>
          <w:tcPr>
            <w:tcW w:w="1224" w:type="pct"/>
            <w:tcBorders>
              <w:left w:val="single" w:sz="4" w:space="0" w:color="auto"/>
            </w:tcBorders>
            <w:shd w:val="clear" w:color="auto" w:fill="auto"/>
            <w:noWrap/>
            <w:vAlign w:val="center"/>
            <w:hideMark/>
          </w:tcPr>
          <w:p w14:paraId="4D852E7F"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All aged 65 and over</w:t>
            </w:r>
          </w:p>
        </w:tc>
        <w:tc>
          <w:tcPr>
            <w:tcW w:w="885" w:type="pct"/>
            <w:shd w:val="clear" w:color="auto" w:fill="auto"/>
            <w:noWrap/>
            <w:vAlign w:val="center"/>
            <w:hideMark/>
          </w:tcPr>
          <w:p w14:paraId="0955944F" w14:textId="014AE340" w:rsidR="00A02AE6" w:rsidRPr="00A02AE6" w:rsidRDefault="00A02AE6" w:rsidP="00A02AE6">
            <w:pPr>
              <w:spacing w:line="240" w:lineRule="auto"/>
              <w:jc w:val="both"/>
              <w:rPr>
                <w:rFonts w:cstheme="minorHAnsi"/>
                <w:sz w:val="18"/>
                <w:szCs w:val="18"/>
                <w:lang w:eastAsia="zh-CN"/>
              </w:rPr>
            </w:pPr>
            <w:r w:rsidRPr="00A02AE6">
              <w:rPr>
                <w:sz w:val="18"/>
                <w:szCs w:val="18"/>
              </w:rPr>
              <w:t>-3.9%</w:t>
            </w:r>
          </w:p>
        </w:tc>
        <w:tc>
          <w:tcPr>
            <w:tcW w:w="885" w:type="pct"/>
            <w:shd w:val="clear" w:color="auto" w:fill="auto"/>
            <w:noWrap/>
            <w:vAlign w:val="center"/>
            <w:hideMark/>
          </w:tcPr>
          <w:p w14:paraId="332749D5" w14:textId="69259652" w:rsidR="00A02AE6" w:rsidRPr="00A02AE6" w:rsidRDefault="00A02AE6" w:rsidP="00A02AE6">
            <w:pPr>
              <w:spacing w:line="240" w:lineRule="auto"/>
              <w:jc w:val="both"/>
              <w:rPr>
                <w:rFonts w:cstheme="minorHAnsi"/>
                <w:sz w:val="18"/>
                <w:szCs w:val="18"/>
                <w:lang w:eastAsia="zh-CN"/>
              </w:rPr>
            </w:pPr>
            <w:r w:rsidRPr="00A02AE6">
              <w:rPr>
                <w:sz w:val="18"/>
                <w:szCs w:val="18"/>
              </w:rPr>
              <w:t>-1.1%</w:t>
            </w:r>
          </w:p>
        </w:tc>
        <w:tc>
          <w:tcPr>
            <w:tcW w:w="888" w:type="pct"/>
            <w:gridSpan w:val="2"/>
            <w:shd w:val="clear" w:color="auto" w:fill="auto"/>
            <w:noWrap/>
            <w:vAlign w:val="center"/>
            <w:hideMark/>
          </w:tcPr>
          <w:p w14:paraId="05482D86" w14:textId="69A91D60" w:rsidR="00A02AE6" w:rsidRPr="00A02AE6" w:rsidRDefault="00A02AE6" w:rsidP="00A02AE6">
            <w:pPr>
              <w:spacing w:line="240" w:lineRule="auto"/>
              <w:jc w:val="both"/>
              <w:rPr>
                <w:rFonts w:cstheme="minorHAnsi"/>
                <w:sz w:val="18"/>
                <w:szCs w:val="18"/>
                <w:lang w:eastAsia="zh-CN"/>
              </w:rPr>
            </w:pPr>
            <w:r w:rsidRPr="00A02AE6">
              <w:rPr>
                <w:sz w:val="18"/>
                <w:szCs w:val="18"/>
              </w:rPr>
              <w:t>-2.0%</w:t>
            </w:r>
          </w:p>
        </w:tc>
      </w:tr>
      <w:tr w:rsidR="00A02AE6" w:rsidRPr="00374C95" w14:paraId="5F51D673" w14:textId="77777777" w:rsidTr="00063441">
        <w:trPr>
          <w:trHeight w:val="288"/>
        </w:trPr>
        <w:tc>
          <w:tcPr>
            <w:tcW w:w="1118" w:type="pct"/>
            <w:tcBorders>
              <w:top w:val="nil"/>
              <w:left w:val="single" w:sz="4" w:space="0" w:color="auto"/>
              <w:bottom w:val="nil"/>
              <w:right w:val="single" w:sz="4" w:space="0" w:color="auto"/>
            </w:tcBorders>
            <w:shd w:val="clear" w:color="auto" w:fill="auto"/>
            <w:noWrap/>
            <w:vAlign w:val="center"/>
            <w:hideMark/>
          </w:tcPr>
          <w:p w14:paraId="56D1BEB8" w14:textId="77777777" w:rsidR="00A02AE6" w:rsidRPr="00374C95" w:rsidRDefault="00A02AE6" w:rsidP="00A02AE6">
            <w:pPr>
              <w:spacing w:line="240" w:lineRule="auto"/>
              <w:jc w:val="both"/>
              <w:rPr>
                <w:rFonts w:cstheme="minorHAnsi"/>
                <w:sz w:val="18"/>
                <w:szCs w:val="18"/>
                <w:lang w:eastAsia="zh-CN"/>
              </w:rPr>
            </w:pPr>
          </w:p>
        </w:tc>
        <w:tc>
          <w:tcPr>
            <w:tcW w:w="1224" w:type="pct"/>
            <w:tcBorders>
              <w:left w:val="single" w:sz="4" w:space="0" w:color="auto"/>
            </w:tcBorders>
            <w:shd w:val="clear" w:color="auto" w:fill="auto"/>
            <w:noWrap/>
            <w:vAlign w:val="center"/>
            <w:hideMark/>
          </w:tcPr>
          <w:p w14:paraId="478E7109"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With no children</w:t>
            </w:r>
          </w:p>
        </w:tc>
        <w:tc>
          <w:tcPr>
            <w:tcW w:w="885" w:type="pct"/>
            <w:shd w:val="clear" w:color="auto" w:fill="auto"/>
            <w:noWrap/>
            <w:vAlign w:val="center"/>
            <w:hideMark/>
          </w:tcPr>
          <w:p w14:paraId="3E933817" w14:textId="77D44DB6" w:rsidR="00A02AE6" w:rsidRPr="00A02AE6" w:rsidRDefault="00A02AE6" w:rsidP="00A02AE6">
            <w:pPr>
              <w:spacing w:line="240" w:lineRule="auto"/>
              <w:jc w:val="both"/>
              <w:rPr>
                <w:rFonts w:cstheme="minorHAnsi"/>
                <w:sz w:val="18"/>
                <w:szCs w:val="18"/>
                <w:lang w:eastAsia="zh-CN"/>
              </w:rPr>
            </w:pPr>
            <w:r w:rsidRPr="00A02AE6">
              <w:rPr>
                <w:sz w:val="18"/>
                <w:szCs w:val="18"/>
              </w:rPr>
              <w:t>2.6%</w:t>
            </w:r>
          </w:p>
        </w:tc>
        <w:tc>
          <w:tcPr>
            <w:tcW w:w="885" w:type="pct"/>
            <w:shd w:val="clear" w:color="auto" w:fill="auto"/>
            <w:noWrap/>
            <w:vAlign w:val="center"/>
            <w:hideMark/>
          </w:tcPr>
          <w:p w14:paraId="30DBB1AF" w14:textId="368B96DA" w:rsidR="00A02AE6" w:rsidRPr="00A02AE6" w:rsidRDefault="00A02AE6" w:rsidP="00A02AE6">
            <w:pPr>
              <w:spacing w:line="240" w:lineRule="auto"/>
              <w:jc w:val="both"/>
              <w:rPr>
                <w:rFonts w:cstheme="minorHAnsi"/>
                <w:sz w:val="18"/>
                <w:szCs w:val="18"/>
                <w:lang w:eastAsia="zh-CN"/>
              </w:rPr>
            </w:pPr>
            <w:r w:rsidRPr="00A02AE6">
              <w:rPr>
                <w:sz w:val="18"/>
                <w:szCs w:val="18"/>
              </w:rPr>
              <w:t>7.3%</w:t>
            </w:r>
          </w:p>
        </w:tc>
        <w:tc>
          <w:tcPr>
            <w:tcW w:w="888" w:type="pct"/>
            <w:gridSpan w:val="2"/>
            <w:shd w:val="clear" w:color="auto" w:fill="auto"/>
            <w:noWrap/>
            <w:vAlign w:val="center"/>
            <w:hideMark/>
          </w:tcPr>
          <w:p w14:paraId="773C4C8E" w14:textId="04060BFA" w:rsidR="00A02AE6" w:rsidRPr="00A02AE6" w:rsidRDefault="00A02AE6" w:rsidP="00A02AE6">
            <w:pPr>
              <w:spacing w:line="240" w:lineRule="auto"/>
              <w:jc w:val="both"/>
              <w:rPr>
                <w:rFonts w:cstheme="minorHAnsi"/>
                <w:sz w:val="18"/>
                <w:szCs w:val="18"/>
                <w:lang w:eastAsia="zh-CN"/>
              </w:rPr>
            </w:pPr>
            <w:r w:rsidRPr="00A02AE6">
              <w:rPr>
                <w:sz w:val="18"/>
                <w:szCs w:val="18"/>
              </w:rPr>
              <w:t>7.1%</w:t>
            </w:r>
          </w:p>
        </w:tc>
      </w:tr>
      <w:tr w:rsidR="00A02AE6" w:rsidRPr="00374C95" w14:paraId="07D10E64" w14:textId="77777777" w:rsidTr="00063441">
        <w:trPr>
          <w:trHeight w:val="288"/>
        </w:trPr>
        <w:tc>
          <w:tcPr>
            <w:tcW w:w="1118" w:type="pct"/>
            <w:tcBorders>
              <w:top w:val="nil"/>
              <w:left w:val="single" w:sz="4" w:space="0" w:color="auto"/>
              <w:bottom w:val="nil"/>
              <w:right w:val="single" w:sz="4" w:space="0" w:color="auto"/>
            </w:tcBorders>
            <w:shd w:val="clear" w:color="auto" w:fill="auto"/>
            <w:noWrap/>
            <w:vAlign w:val="center"/>
            <w:hideMark/>
          </w:tcPr>
          <w:p w14:paraId="619CE526" w14:textId="77777777" w:rsidR="00A02AE6" w:rsidRPr="00374C95" w:rsidRDefault="00A02AE6" w:rsidP="00A02AE6">
            <w:pPr>
              <w:spacing w:line="240" w:lineRule="auto"/>
              <w:jc w:val="both"/>
              <w:rPr>
                <w:rFonts w:cstheme="minorHAnsi"/>
                <w:sz w:val="18"/>
                <w:szCs w:val="18"/>
                <w:lang w:eastAsia="zh-CN"/>
              </w:rPr>
            </w:pPr>
          </w:p>
        </w:tc>
        <w:tc>
          <w:tcPr>
            <w:tcW w:w="1224" w:type="pct"/>
            <w:tcBorders>
              <w:left w:val="single" w:sz="4" w:space="0" w:color="auto"/>
            </w:tcBorders>
            <w:shd w:val="clear" w:color="auto" w:fill="auto"/>
            <w:noWrap/>
            <w:vAlign w:val="center"/>
            <w:hideMark/>
          </w:tcPr>
          <w:p w14:paraId="5B0FC7CF" w14:textId="77777777" w:rsidR="00A02AE6" w:rsidRPr="00374C95" w:rsidRDefault="00A02AE6" w:rsidP="00A02AE6">
            <w:pPr>
              <w:spacing w:line="240" w:lineRule="auto"/>
              <w:jc w:val="both"/>
              <w:rPr>
                <w:rFonts w:cstheme="minorHAnsi"/>
                <w:sz w:val="18"/>
                <w:szCs w:val="18"/>
                <w:lang w:eastAsia="zh-CN"/>
              </w:rPr>
            </w:pPr>
            <w:r w:rsidRPr="00374C95">
              <w:rPr>
                <w:rFonts w:cstheme="minorHAnsi"/>
                <w:sz w:val="18"/>
                <w:szCs w:val="18"/>
                <w:lang w:eastAsia="zh-CN"/>
              </w:rPr>
              <w:t>With dependent children</w:t>
            </w:r>
          </w:p>
        </w:tc>
        <w:tc>
          <w:tcPr>
            <w:tcW w:w="885" w:type="pct"/>
            <w:shd w:val="clear" w:color="auto" w:fill="auto"/>
            <w:noWrap/>
            <w:vAlign w:val="center"/>
            <w:hideMark/>
          </w:tcPr>
          <w:p w14:paraId="07712459" w14:textId="41D880E1" w:rsidR="00A02AE6" w:rsidRPr="00A02AE6" w:rsidRDefault="00A02AE6" w:rsidP="00A02AE6">
            <w:pPr>
              <w:spacing w:line="240" w:lineRule="auto"/>
              <w:jc w:val="both"/>
              <w:rPr>
                <w:rFonts w:cstheme="minorHAnsi"/>
                <w:sz w:val="18"/>
                <w:szCs w:val="18"/>
                <w:lang w:eastAsia="zh-CN"/>
              </w:rPr>
            </w:pPr>
            <w:r w:rsidRPr="00A02AE6">
              <w:rPr>
                <w:sz w:val="18"/>
                <w:szCs w:val="18"/>
              </w:rPr>
              <w:t>-0.7%</w:t>
            </w:r>
          </w:p>
        </w:tc>
        <w:tc>
          <w:tcPr>
            <w:tcW w:w="885" w:type="pct"/>
            <w:shd w:val="clear" w:color="auto" w:fill="auto"/>
            <w:noWrap/>
            <w:vAlign w:val="center"/>
            <w:hideMark/>
          </w:tcPr>
          <w:p w14:paraId="1A8C1D23" w14:textId="6B024F9D" w:rsidR="00A02AE6" w:rsidRPr="00A02AE6" w:rsidRDefault="00A02AE6" w:rsidP="00A02AE6">
            <w:pPr>
              <w:spacing w:line="240" w:lineRule="auto"/>
              <w:jc w:val="both"/>
              <w:rPr>
                <w:rFonts w:cstheme="minorHAnsi"/>
                <w:sz w:val="18"/>
                <w:szCs w:val="18"/>
                <w:lang w:eastAsia="zh-CN"/>
              </w:rPr>
            </w:pPr>
            <w:r w:rsidRPr="00A02AE6">
              <w:rPr>
                <w:sz w:val="18"/>
                <w:szCs w:val="18"/>
              </w:rPr>
              <w:t>1.0%</w:t>
            </w:r>
          </w:p>
        </w:tc>
        <w:tc>
          <w:tcPr>
            <w:tcW w:w="888" w:type="pct"/>
            <w:gridSpan w:val="2"/>
            <w:shd w:val="clear" w:color="auto" w:fill="auto"/>
            <w:noWrap/>
            <w:vAlign w:val="center"/>
            <w:hideMark/>
          </w:tcPr>
          <w:p w14:paraId="0C46810A" w14:textId="08F8FC6B" w:rsidR="00A02AE6" w:rsidRPr="00A02AE6" w:rsidRDefault="00A02AE6" w:rsidP="00A02AE6">
            <w:pPr>
              <w:spacing w:line="240" w:lineRule="auto"/>
              <w:jc w:val="both"/>
              <w:rPr>
                <w:rFonts w:cstheme="minorHAnsi"/>
                <w:sz w:val="18"/>
                <w:szCs w:val="18"/>
                <w:lang w:eastAsia="zh-CN"/>
              </w:rPr>
            </w:pPr>
            <w:r w:rsidRPr="00A02AE6">
              <w:rPr>
                <w:sz w:val="18"/>
                <w:szCs w:val="18"/>
              </w:rPr>
              <w:t>5.0%</w:t>
            </w:r>
          </w:p>
        </w:tc>
      </w:tr>
      <w:tr w:rsidR="00A02AE6" w:rsidRPr="00374C95" w14:paraId="60E221B9" w14:textId="77777777" w:rsidTr="00063441">
        <w:trPr>
          <w:trHeight w:val="288"/>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14:paraId="7A21B6D1" w14:textId="77777777" w:rsidR="00A02AE6" w:rsidRPr="00374C95" w:rsidRDefault="00A02AE6" w:rsidP="00A02AE6">
            <w:pPr>
              <w:spacing w:line="240" w:lineRule="auto"/>
              <w:jc w:val="both"/>
              <w:rPr>
                <w:rFonts w:cstheme="minorHAnsi"/>
                <w:sz w:val="18"/>
                <w:szCs w:val="18"/>
                <w:lang w:eastAsia="zh-CN"/>
              </w:rPr>
            </w:pPr>
          </w:p>
        </w:tc>
        <w:tc>
          <w:tcPr>
            <w:tcW w:w="1224" w:type="pct"/>
            <w:tcBorders>
              <w:left w:val="single" w:sz="4" w:space="0" w:color="auto"/>
            </w:tcBorders>
            <w:shd w:val="clear" w:color="auto" w:fill="auto"/>
            <w:noWrap/>
            <w:vAlign w:val="center"/>
            <w:hideMark/>
          </w:tcPr>
          <w:p w14:paraId="7A6F5B5F" w14:textId="77777777" w:rsidR="00A02AE6" w:rsidRPr="00374C95" w:rsidRDefault="00A02AE6" w:rsidP="00832DE0">
            <w:pPr>
              <w:spacing w:line="240" w:lineRule="auto"/>
              <w:rPr>
                <w:rFonts w:cstheme="minorHAnsi"/>
                <w:sz w:val="18"/>
                <w:szCs w:val="18"/>
                <w:lang w:eastAsia="zh-CN"/>
              </w:rPr>
            </w:pPr>
            <w:r w:rsidRPr="00374C95">
              <w:rPr>
                <w:rFonts w:cstheme="minorHAnsi"/>
                <w:sz w:val="18"/>
                <w:szCs w:val="18"/>
                <w:lang w:eastAsia="zh-CN"/>
              </w:rPr>
              <w:t>All children non-dependent</w:t>
            </w:r>
          </w:p>
        </w:tc>
        <w:tc>
          <w:tcPr>
            <w:tcW w:w="885" w:type="pct"/>
            <w:shd w:val="clear" w:color="auto" w:fill="auto"/>
            <w:noWrap/>
            <w:vAlign w:val="center"/>
            <w:hideMark/>
          </w:tcPr>
          <w:p w14:paraId="1D1137A3" w14:textId="18BD3E5D" w:rsidR="00A02AE6" w:rsidRPr="00A02AE6" w:rsidRDefault="00A02AE6" w:rsidP="00A02AE6">
            <w:pPr>
              <w:spacing w:line="240" w:lineRule="auto"/>
              <w:jc w:val="both"/>
              <w:rPr>
                <w:rFonts w:cstheme="minorHAnsi"/>
                <w:sz w:val="18"/>
                <w:szCs w:val="18"/>
                <w:lang w:eastAsia="zh-CN"/>
              </w:rPr>
            </w:pPr>
            <w:r w:rsidRPr="00A02AE6">
              <w:rPr>
                <w:sz w:val="18"/>
                <w:szCs w:val="18"/>
              </w:rPr>
              <w:t>15.6%</w:t>
            </w:r>
          </w:p>
        </w:tc>
        <w:tc>
          <w:tcPr>
            <w:tcW w:w="885" w:type="pct"/>
            <w:shd w:val="clear" w:color="auto" w:fill="auto"/>
            <w:noWrap/>
            <w:vAlign w:val="center"/>
            <w:hideMark/>
          </w:tcPr>
          <w:p w14:paraId="38901FE3" w14:textId="4CD066D5" w:rsidR="00A02AE6" w:rsidRPr="00A02AE6" w:rsidRDefault="00A02AE6" w:rsidP="00A02AE6">
            <w:pPr>
              <w:spacing w:line="240" w:lineRule="auto"/>
              <w:jc w:val="both"/>
              <w:rPr>
                <w:rFonts w:cstheme="minorHAnsi"/>
                <w:sz w:val="18"/>
                <w:szCs w:val="18"/>
                <w:lang w:eastAsia="zh-CN"/>
              </w:rPr>
            </w:pPr>
            <w:r w:rsidRPr="00A02AE6">
              <w:rPr>
                <w:sz w:val="18"/>
                <w:szCs w:val="18"/>
              </w:rPr>
              <w:t>19.9%</w:t>
            </w:r>
          </w:p>
        </w:tc>
        <w:tc>
          <w:tcPr>
            <w:tcW w:w="888" w:type="pct"/>
            <w:gridSpan w:val="2"/>
            <w:shd w:val="clear" w:color="auto" w:fill="auto"/>
            <w:noWrap/>
            <w:vAlign w:val="center"/>
            <w:hideMark/>
          </w:tcPr>
          <w:p w14:paraId="0C241FBC" w14:textId="637F48C8" w:rsidR="00A02AE6" w:rsidRPr="00A02AE6" w:rsidRDefault="00A02AE6" w:rsidP="00A02AE6">
            <w:pPr>
              <w:spacing w:line="240" w:lineRule="auto"/>
              <w:jc w:val="both"/>
              <w:rPr>
                <w:rFonts w:cstheme="minorHAnsi"/>
                <w:sz w:val="18"/>
                <w:szCs w:val="18"/>
                <w:lang w:eastAsia="zh-CN"/>
              </w:rPr>
            </w:pPr>
            <w:r w:rsidRPr="00A02AE6">
              <w:rPr>
                <w:sz w:val="18"/>
                <w:szCs w:val="18"/>
              </w:rPr>
              <w:t>10.6%</w:t>
            </w:r>
          </w:p>
        </w:tc>
      </w:tr>
      <w:tr w:rsidR="00A02AE6" w:rsidRPr="00374C95" w14:paraId="7BE4CB6A" w14:textId="77777777" w:rsidTr="00063441">
        <w:trPr>
          <w:trHeight w:val="288"/>
        </w:trPr>
        <w:tc>
          <w:tcPr>
            <w:tcW w:w="1118" w:type="pct"/>
            <w:tcBorders>
              <w:top w:val="single" w:sz="4" w:space="0" w:color="auto"/>
            </w:tcBorders>
            <w:shd w:val="clear" w:color="auto" w:fill="auto"/>
            <w:noWrap/>
            <w:vAlign w:val="center"/>
            <w:hideMark/>
          </w:tcPr>
          <w:p w14:paraId="5E349969" w14:textId="77777777" w:rsidR="00A02AE6" w:rsidRPr="00374C95" w:rsidRDefault="00A02AE6" w:rsidP="00832DE0">
            <w:pPr>
              <w:spacing w:line="240" w:lineRule="auto"/>
              <w:rPr>
                <w:rFonts w:cstheme="minorHAnsi"/>
                <w:b/>
                <w:sz w:val="18"/>
                <w:szCs w:val="18"/>
                <w:lang w:eastAsia="zh-CN"/>
              </w:rPr>
            </w:pPr>
            <w:r w:rsidRPr="00374C95">
              <w:rPr>
                <w:rFonts w:cstheme="minorHAnsi"/>
                <w:b/>
                <w:sz w:val="18"/>
                <w:szCs w:val="18"/>
                <w:lang w:eastAsia="zh-CN"/>
              </w:rPr>
              <w:t>Other household types</w:t>
            </w:r>
          </w:p>
        </w:tc>
        <w:tc>
          <w:tcPr>
            <w:tcW w:w="1224" w:type="pct"/>
            <w:shd w:val="clear" w:color="auto" w:fill="auto"/>
            <w:noWrap/>
            <w:vAlign w:val="center"/>
            <w:hideMark/>
          </w:tcPr>
          <w:p w14:paraId="22EE3DDE" w14:textId="77777777" w:rsidR="00A02AE6" w:rsidRPr="00374C95" w:rsidRDefault="00A02AE6" w:rsidP="00A02AE6">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885" w:type="pct"/>
            <w:shd w:val="clear" w:color="auto" w:fill="auto"/>
            <w:noWrap/>
            <w:vAlign w:val="center"/>
            <w:hideMark/>
          </w:tcPr>
          <w:p w14:paraId="28C836A1" w14:textId="2858791D" w:rsidR="00A02AE6" w:rsidRPr="00A02AE6" w:rsidRDefault="00A02AE6" w:rsidP="00A02AE6">
            <w:pPr>
              <w:spacing w:line="240" w:lineRule="auto"/>
              <w:jc w:val="both"/>
              <w:rPr>
                <w:rFonts w:cstheme="minorHAnsi"/>
                <w:b/>
                <w:sz w:val="18"/>
                <w:szCs w:val="18"/>
                <w:lang w:eastAsia="zh-CN"/>
              </w:rPr>
            </w:pPr>
            <w:r w:rsidRPr="00A02AE6">
              <w:rPr>
                <w:sz w:val="18"/>
                <w:szCs w:val="18"/>
              </w:rPr>
              <w:t>18.4%</w:t>
            </w:r>
          </w:p>
        </w:tc>
        <w:tc>
          <w:tcPr>
            <w:tcW w:w="885" w:type="pct"/>
            <w:shd w:val="clear" w:color="auto" w:fill="auto"/>
            <w:noWrap/>
            <w:vAlign w:val="center"/>
            <w:hideMark/>
          </w:tcPr>
          <w:p w14:paraId="23E4952F" w14:textId="42E02791" w:rsidR="00A02AE6" w:rsidRPr="00A02AE6" w:rsidRDefault="00A02AE6" w:rsidP="00A02AE6">
            <w:pPr>
              <w:spacing w:line="240" w:lineRule="auto"/>
              <w:jc w:val="both"/>
              <w:rPr>
                <w:rFonts w:cstheme="minorHAnsi"/>
                <w:b/>
                <w:sz w:val="18"/>
                <w:szCs w:val="18"/>
                <w:lang w:eastAsia="zh-CN"/>
              </w:rPr>
            </w:pPr>
            <w:r w:rsidRPr="00A02AE6">
              <w:rPr>
                <w:sz w:val="18"/>
                <w:szCs w:val="18"/>
              </w:rPr>
              <w:t>21.1%</w:t>
            </w:r>
          </w:p>
        </w:tc>
        <w:tc>
          <w:tcPr>
            <w:tcW w:w="888" w:type="pct"/>
            <w:gridSpan w:val="2"/>
            <w:shd w:val="clear" w:color="auto" w:fill="auto"/>
            <w:noWrap/>
            <w:vAlign w:val="center"/>
            <w:hideMark/>
          </w:tcPr>
          <w:p w14:paraId="133BE59F" w14:textId="2E6C93E8" w:rsidR="00A02AE6" w:rsidRPr="00A02AE6" w:rsidRDefault="00A02AE6" w:rsidP="00A02AE6">
            <w:pPr>
              <w:spacing w:line="240" w:lineRule="auto"/>
              <w:jc w:val="both"/>
              <w:rPr>
                <w:rFonts w:cstheme="minorHAnsi"/>
                <w:b/>
                <w:sz w:val="18"/>
                <w:szCs w:val="18"/>
                <w:lang w:eastAsia="zh-CN"/>
              </w:rPr>
            </w:pPr>
            <w:r w:rsidRPr="00A02AE6">
              <w:rPr>
                <w:sz w:val="18"/>
                <w:szCs w:val="18"/>
              </w:rPr>
              <w:t>28.9%</w:t>
            </w:r>
          </w:p>
        </w:tc>
      </w:tr>
    </w:tbl>
    <w:p w14:paraId="135CACBA" w14:textId="77777777" w:rsidR="002C2D5C" w:rsidRPr="00374C95" w:rsidRDefault="002C2D5C" w:rsidP="002C2D5C">
      <w:pPr>
        <w:pStyle w:val="Source"/>
        <w:jc w:val="both"/>
        <w:rPr>
          <w:sz w:val="18"/>
          <w:szCs w:val="18"/>
          <w:lang w:val="en-GB"/>
        </w:rPr>
      </w:pPr>
      <w:r w:rsidRPr="00374C95">
        <w:rPr>
          <w:sz w:val="18"/>
          <w:szCs w:val="18"/>
          <w:lang w:val="en-GB"/>
        </w:rPr>
        <w:t>Source: ONS 2001-2011, AECOM Calculations</w:t>
      </w:r>
    </w:p>
    <w:p w14:paraId="1AE6B78C" w14:textId="77777777" w:rsidR="002C2D5C" w:rsidRPr="00531369" w:rsidRDefault="002C2D5C" w:rsidP="002C2D5C">
      <w:pPr>
        <w:pStyle w:val="Heading2"/>
        <w:jc w:val="both"/>
      </w:pPr>
      <w:bookmarkStart w:id="161" w:name="_Toc527020701"/>
      <w:bookmarkStart w:id="162" w:name="_Toc533017437"/>
      <w:bookmarkStart w:id="163" w:name="_Toc536797449"/>
      <w:bookmarkStart w:id="164" w:name="_Toc4428643"/>
      <w:bookmarkStart w:id="165" w:name="_Toc64026816"/>
      <w:r w:rsidRPr="00531369">
        <w:t>Dwelling mix determined by life-stage modelling</w:t>
      </w:r>
      <w:bookmarkEnd w:id="161"/>
      <w:bookmarkEnd w:id="162"/>
      <w:bookmarkEnd w:id="163"/>
      <w:bookmarkEnd w:id="164"/>
      <w:bookmarkEnd w:id="165"/>
    </w:p>
    <w:p w14:paraId="654A4DD9" w14:textId="77777777" w:rsidR="00616B01" w:rsidRDefault="00C057DA" w:rsidP="00A82210">
      <w:pPr>
        <w:pStyle w:val="ListNumber"/>
      </w:pPr>
      <w:r w:rsidRPr="002410C3">
        <w:t>Recognising</w:t>
      </w:r>
      <w:r>
        <w:t xml:space="preserve"> the fact</w:t>
      </w:r>
      <w:r w:rsidRPr="00CA4501">
        <w:t xml:space="preserve"> that households of different ages </w:t>
      </w:r>
      <w:r w:rsidR="00430AD8">
        <w:t xml:space="preserve">may </w:t>
      </w:r>
      <w:r w:rsidRPr="00CA4501">
        <w:t>h</w:t>
      </w:r>
      <w:r>
        <w:t>ave different housing needs,</w:t>
      </w:r>
      <w:r w:rsidRPr="00CA4501">
        <w:t xml:space="preserve"> the housing mix needed</w:t>
      </w:r>
      <w:r w:rsidR="00430AD8">
        <w:t xml:space="preserve"> to meet demographic change</w:t>
      </w:r>
      <w:r w:rsidRPr="00CA4501">
        <w:t xml:space="preserve"> by the en</w:t>
      </w:r>
      <w:r w:rsidR="00F16F43">
        <w:t>d of the P</w:t>
      </w:r>
      <w:r w:rsidRPr="00CA4501">
        <w:t>lan pe</w:t>
      </w:r>
      <w:r>
        <w:t xml:space="preserve">riod </w:t>
      </w:r>
      <w:r w:rsidR="00430AD8">
        <w:t xml:space="preserve">is estimated by </w:t>
      </w:r>
      <w:r>
        <w:t xml:space="preserve">an approach based on </w:t>
      </w:r>
      <w:r w:rsidRPr="00CA4501">
        <w:t xml:space="preserve">current occupation patterns – that is, the propensity of households of different ages to occupy different types of accommodation – will persist into the future. For example, projected growth in households aged </w:t>
      </w:r>
      <w:r w:rsidR="006F668D">
        <w:t>under 24</w:t>
      </w:r>
      <w:r w:rsidRPr="00CA4501">
        <w:t xml:space="preserve"> will lead to an increase in the need for the type of housing currently occupied by households of that age</w:t>
      </w:r>
      <w:r w:rsidR="00D91AFD">
        <w:t>.</w:t>
      </w:r>
      <w:r w:rsidR="00476DB8">
        <w:t xml:space="preserve"> </w:t>
      </w:r>
    </w:p>
    <w:p w14:paraId="6B1FE81E" w14:textId="432E60F4" w:rsidR="00C057DA" w:rsidRPr="00CA4501" w:rsidRDefault="00476DB8" w:rsidP="00A82210">
      <w:pPr>
        <w:pStyle w:val="ListNumber"/>
      </w:pPr>
      <w:r>
        <w:t>It is important to keep in mind that this exercise provides an estimate based on demographic trends and occupancy patterns alone. It does not take into account income and wealth</w:t>
      </w:r>
      <w:r w:rsidR="00430AD8">
        <w:t>,</w:t>
      </w:r>
      <w:r>
        <w:t xml:space="preserve"> other than in an indirect way through the propensity of households to occupy more or less space than they ‘need’. </w:t>
      </w:r>
      <w:r w:rsidR="00430AD8">
        <w:t xml:space="preserve">This approach also embeds existing patterns of occupancy which may or may not be desirable. This is particularly important to keep in mind in areas where housing affordability has worsened because it means that many households are forced to occupy less space than they need or want. </w:t>
      </w:r>
    </w:p>
    <w:p w14:paraId="4218B5CB" w14:textId="0FAB317F" w:rsidR="00C057DA" w:rsidRDefault="00C057DA" w:rsidP="00A82210">
      <w:pPr>
        <w:pStyle w:val="ListNumber"/>
      </w:pPr>
      <w:r w:rsidRPr="00C057DA">
        <w:t xml:space="preserve">However, no data on housing size occupation by age of the </w:t>
      </w:r>
      <w:r w:rsidR="00816570">
        <w:t>Household Reference Person (</w:t>
      </w:r>
      <w:r>
        <w:t>HRP</w:t>
      </w:r>
      <w:r w:rsidR="00816570">
        <w:t>- a more modern term for ‘head of household’)</w:t>
      </w:r>
      <w:r>
        <w:t xml:space="preserve"> </w:t>
      </w:r>
      <w:r w:rsidRPr="00C057DA">
        <w:t xml:space="preserve">is available at </w:t>
      </w:r>
      <w:r w:rsidR="005F50BC">
        <w:t>neighbourhood</w:t>
      </w:r>
      <w:r>
        <w:t xml:space="preserve"> level. For this reason, </w:t>
      </w:r>
      <w:r w:rsidRPr="00C057DA">
        <w:t>LA</w:t>
      </w:r>
      <w:r>
        <w:t xml:space="preserve">-level data </w:t>
      </w:r>
      <w:r w:rsidRPr="00C057DA">
        <w:t>need</w:t>
      </w:r>
      <w:r>
        <w:t>s to be used as the closest</w:t>
      </w:r>
      <w:r w:rsidRPr="00C057DA">
        <w:t xml:space="preserve"> proxy. </w:t>
      </w:r>
      <w:r w:rsidR="00E716ED">
        <w:t>In the case of Weymouth t</w:t>
      </w:r>
      <w:r w:rsidR="00AC1378">
        <w:t>his is very representative as data is available at the former Weymouth and Portland LA level.</w:t>
      </w:r>
    </w:p>
    <w:p w14:paraId="24D1A254" w14:textId="359693DA" w:rsidR="00C057DA" w:rsidRPr="00C057DA" w:rsidRDefault="00C057DA" w:rsidP="00A82210">
      <w:pPr>
        <w:pStyle w:val="ListNumber"/>
      </w:pPr>
      <w:r w:rsidRPr="00C057DA">
        <w:fldChar w:fldCharType="begin"/>
      </w:r>
      <w:r w:rsidRPr="00C057DA">
        <w:instrText xml:space="preserve"> REF _Ref7857807 \h </w:instrText>
      </w:r>
      <w:r>
        <w:instrText xml:space="preserve"> \* MERGEFORMAT </w:instrText>
      </w:r>
      <w:r w:rsidRPr="00C057DA">
        <w:fldChar w:fldCharType="separate"/>
      </w:r>
      <w:r w:rsidR="00A73A45">
        <w:t>Table</w:t>
      </w:r>
      <w:r w:rsidR="00A73A45" w:rsidRPr="002D4F56">
        <w:t xml:space="preserve"> </w:t>
      </w:r>
      <w:r w:rsidR="00A73A45">
        <w:rPr>
          <w:noProof/>
        </w:rPr>
        <w:t>5</w:t>
      </w:r>
      <w:r w:rsidR="00A73A45">
        <w:rPr>
          <w:noProof/>
        </w:rPr>
        <w:noBreakHyphen/>
        <w:t>9</w:t>
      </w:r>
      <w:r w:rsidRPr="00C057DA">
        <w:fldChar w:fldCharType="end"/>
      </w:r>
      <w:r w:rsidRPr="00C057DA">
        <w:t xml:space="preserve"> b</w:t>
      </w:r>
      <w:r>
        <w:t xml:space="preserve">elow sets out the relationship in the 2011 Census </w:t>
      </w:r>
      <w:r w:rsidR="00D91AFD">
        <w:t>at</w:t>
      </w:r>
      <w:r w:rsidR="00AC1378">
        <w:t xml:space="preserve"> the</w:t>
      </w:r>
      <w:r w:rsidR="00D91AFD">
        <w:t xml:space="preserve"> </w:t>
      </w:r>
      <w:r w:rsidR="00AC1378">
        <w:t xml:space="preserve">former </w:t>
      </w:r>
      <w:r w:rsidR="0099461D">
        <w:t>Weymouth and Portland LA</w:t>
      </w:r>
      <w:r w:rsidR="00D91AFD">
        <w:t xml:space="preserve"> level </w:t>
      </w:r>
      <w:r>
        <w:t xml:space="preserve">between the age of the </w:t>
      </w:r>
      <w:r w:rsidR="00816570">
        <w:t xml:space="preserve">HRP </w:t>
      </w:r>
      <w:r>
        <w:t>and the size of dwelling occupied. This provides the starting point for determining the most appropriate dwelling size mix by the end of</w:t>
      </w:r>
      <w:r w:rsidR="00D91AFD">
        <w:t xml:space="preserve"> the Neighbourhood Plan period</w:t>
      </w:r>
      <w:r>
        <w:t xml:space="preserve">. </w:t>
      </w:r>
      <w:bookmarkStart w:id="166" w:name="_Hlk63155245"/>
      <w:r>
        <w:t xml:space="preserve">The data shows that </w:t>
      </w:r>
      <w:r w:rsidR="00063441">
        <w:t xml:space="preserve">overall, younger households </w:t>
      </w:r>
      <w:r w:rsidR="0015269D">
        <w:t xml:space="preserve">typically </w:t>
      </w:r>
      <w:r w:rsidR="00063441">
        <w:t>occupy smaller housing, primarily with 2 bedrooms, but also some 1 and 3 bedroom properties. The prevalence of 3 and 4 bedroom properties then increases steadily</w:t>
      </w:r>
      <w:r w:rsidR="00F15FFF">
        <w:t>, with these sizes most popular for households with a reference person aged 40-60. After this, the prop</w:t>
      </w:r>
      <w:r w:rsidR="003F5771">
        <w:t>o</w:t>
      </w:r>
      <w:r w:rsidR="00F15FFF">
        <w:t>rtions of 1 and 2 bed properties rises again, with the popularity of 3 and 4 bed properties declining at the same time. However, these changes to not return households to the same situation as those under the age of 30. Over 85s occupy a similar size of home as 30-35 year olds</w:t>
      </w:r>
      <w:r w:rsidR="0015269D">
        <w:t>, rather than reverting to the smaller house sizes prevalent in the youngest age groups</w:t>
      </w:r>
      <w:r w:rsidR="00F15FFF">
        <w:t xml:space="preserve">. These trends are similar across the country, with households occupying increasingly larger homes as their families and incomes growth towards the middle of their life, and then </w:t>
      </w:r>
      <w:r w:rsidR="0015269D">
        <w:t>down-size</w:t>
      </w:r>
      <w:r w:rsidR="00F15FFF">
        <w:t xml:space="preserve"> again later in life as children move out and the family earners retire. However, in older age, many households </w:t>
      </w:r>
      <w:r w:rsidR="0015269D">
        <w:t>continue to</w:t>
      </w:r>
      <w:r w:rsidR="00F15FFF">
        <w:t xml:space="preserve"> </w:t>
      </w:r>
      <w:r w:rsidR="00B05ECB">
        <w:t>under</w:t>
      </w:r>
      <w:r w:rsidR="00F15FFF">
        <w:t>-occupy their home as the incentive to downsize out of their former family home is not sufficiently large.</w:t>
      </w:r>
    </w:p>
    <w:p w14:paraId="358C060A" w14:textId="2746C4BF" w:rsidR="00C057DA" w:rsidRPr="002D4F56" w:rsidRDefault="00AF5895" w:rsidP="00D91AFD">
      <w:pPr>
        <w:pStyle w:val="Caption"/>
        <w:jc w:val="both"/>
        <w:rPr>
          <w:sz w:val="18"/>
          <w:szCs w:val="18"/>
        </w:rPr>
      </w:pPr>
      <w:bookmarkStart w:id="167" w:name="_Ref5974730"/>
      <w:bookmarkStart w:id="168" w:name="_Ref7857807"/>
      <w:bookmarkEnd w:id="166"/>
      <w:r>
        <w:rPr>
          <w:sz w:val="18"/>
          <w:szCs w:val="18"/>
        </w:rPr>
        <w:t>Table</w:t>
      </w:r>
      <w:r w:rsidR="00C057DA" w:rsidRPr="002D4F56">
        <w:rPr>
          <w:sz w:val="18"/>
          <w:szCs w:val="18"/>
        </w:rPr>
        <w:t xml:space="preserv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9</w:t>
      </w:r>
      <w:r w:rsidR="00BA4C32">
        <w:rPr>
          <w:sz w:val="18"/>
          <w:szCs w:val="18"/>
        </w:rPr>
        <w:fldChar w:fldCharType="end"/>
      </w:r>
      <w:bookmarkEnd w:id="167"/>
      <w:bookmarkEnd w:id="168"/>
      <w:r w:rsidR="00C057DA" w:rsidRPr="002D4F56">
        <w:rPr>
          <w:sz w:val="18"/>
          <w:szCs w:val="18"/>
        </w:rPr>
        <w:t xml:space="preserve">: Age of household </w:t>
      </w:r>
      <w:r w:rsidR="002D4F56">
        <w:rPr>
          <w:sz w:val="18"/>
          <w:szCs w:val="18"/>
        </w:rPr>
        <w:t>reference person by</w:t>
      </w:r>
      <w:r w:rsidR="00D91AFD" w:rsidRPr="002D4F56">
        <w:rPr>
          <w:sz w:val="18"/>
          <w:szCs w:val="18"/>
        </w:rPr>
        <w:t xml:space="preserve"> </w:t>
      </w:r>
      <w:r w:rsidR="002D4F56">
        <w:rPr>
          <w:sz w:val="18"/>
          <w:szCs w:val="18"/>
        </w:rPr>
        <w:t xml:space="preserve">dwelling </w:t>
      </w:r>
      <w:r w:rsidR="00D91AFD" w:rsidRPr="002D4F56">
        <w:rPr>
          <w:sz w:val="18"/>
          <w:szCs w:val="18"/>
        </w:rPr>
        <w:t>size in</w:t>
      </w:r>
      <w:r w:rsidR="00AC1378">
        <w:rPr>
          <w:sz w:val="18"/>
          <w:szCs w:val="18"/>
        </w:rPr>
        <w:t xml:space="preserve"> former </w:t>
      </w:r>
      <w:r w:rsidR="0099461D">
        <w:rPr>
          <w:sz w:val="18"/>
          <w:szCs w:val="18"/>
        </w:rPr>
        <w:t>Weymouth and Portland</w:t>
      </w:r>
      <w:r w:rsidR="00AC1378">
        <w:rPr>
          <w:sz w:val="18"/>
          <w:szCs w:val="18"/>
        </w:rPr>
        <w:t xml:space="preserve"> LA</w:t>
      </w:r>
      <w:r w:rsidR="002D4F56">
        <w:rPr>
          <w:sz w:val="18"/>
          <w:szCs w:val="18"/>
        </w:rPr>
        <w:t>, 2011</w:t>
      </w:r>
    </w:p>
    <w:p w14:paraId="57D06ED2" w14:textId="085C4B5C" w:rsidR="00C057DA" w:rsidRPr="00AD0BC7" w:rsidRDefault="00063441" w:rsidP="00A82210">
      <w:pPr>
        <w:pStyle w:val="ListNumber"/>
        <w:numPr>
          <w:ilvl w:val="0"/>
          <w:numId w:val="0"/>
        </w:numPr>
        <w:ind w:left="425"/>
      </w:pPr>
      <w:r>
        <w:rPr>
          <w:noProof/>
        </w:rPr>
        <w:drawing>
          <wp:inline distT="0" distB="0" distL="0" distR="0" wp14:anchorId="57C3CD81" wp14:editId="52D8F82B">
            <wp:extent cx="6381750" cy="3308350"/>
            <wp:effectExtent l="0" t="0" r="0" b="6350"/>
            <wp:docPr id="3" name="Chart 3">
              <a:extLst xmlns:a="http://schemas.openxmlformats.org/drawingml/2006/main">
                <a:ext uri="{FF2B5EF4-FFF2-40B4-BE49-F238E27FC236}">
                  <a16:creationId xmlns:a16="http://schemas.microsoft.com/office/drawing/2014/main" id="{900AA6EE-DBD0-4EA8-88E7-1AC0BEEE8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38492D" w14:textId="77777777" w:rsidR="00C057DA" w:rsidRPr="00D91AFD" w:rsidRDefault="00C057DA" w:rsidP="00D91AFD">
      <w:pPr>
        <w:pStyle w:val="Source"/>
        <w:jc w:val="both"/>
        <w:rPr>
          <w:lang w:val="en-GB"/>
        </w:rPr>
      </w:pPr>
      <w:r w:rsidRPr="00D91AFD">
        <w:rPr>
          <w:lang w:val="en-GB"/>
        </w:rPr>
        <w:t>Source: ONS 2011, AECOM Calculations</w:t>
      </w:r>
    </w:p>
    <w:p w14:paraId="7405D2ED" w14:textId="6C350739" w:rsidR="002C2D5C" w:rsidRPr="006958B1" w:rsidRDefault="00430AD8" w:rsidP="00A82210">
      <w:pPr>
        <w:pStyle w:val="ListNumber"/>
        <w:rPr>
          <w:b/>
        </w:rPr>
      </w:pPr>
      <w:r>
        <w:t>H</w:t>
      </w:r>
      <w:r w:rsidR="002C2D5C" w:rsidRPr="006958B1">
        <w:t xml:space="preserve">ousehold projections provided by MHCLG </w:t>
      </w:r>
      <w:r>
        <w:t xml:space="preserve">are then used </w:t>
      </w:r>
      <w:r w:rsidR="002C2D5C" w:rsidRPr="006958B1">
        <w:t xml:space="preserve">to understand the future distribution of households by the age of </w:t>
      </w:r>
      <w:r w:rsidR="006958B1" w:rsidRPr="006958B1">
        <w:t>the HRP</w:t>
      </w:r>
      <w:r w:rsidR="006958B1">
        <w:t>. Again,</w:t>
      </w:r>
      <w:r w:rsidR="005F54A3">
        <w:t xml:space="preserve"> </w:t>
      </w:r>
      <w:r w:rsidR="006958B1">
        <w:t>t</w:t>
      </w:r>
      <w:r w:rsidR="002C2D5C" w:rsidRPr="006958B1">
        <w:t xml:space="preserve">his data is only available at the </w:t>
      </w:r>
      <w:r w:rsidR="00974888">
        <w:t>Local Authority</w:t>
      </w:r>
      <w:r w:rsidR="002C2D5C" w:rsidRPr="006958B1">
        <w:t xml:space="preserve"> level and for the years 2014 and 2039. Therefore, the distribution of households by the age of the HRP would </w:t>
      </w:r>
      <w:r w:rsidR="002C2D5C" w:rsidRPr="00616B01">
        <w:rPr>
          <w:color w:val="auto"/>
        </w:rPr>
        <w:t xml:space="preserve">be in </w:t>
      </w:r>
      <w:r w:rsidR="003F5771">
        <w:rPr>
          <w:color w:val="auto"/>
        </w:rPr>
        <w:t>2038</w:t>
      </w:r>
      <w:r w:rsidRPr="00616B01">
        <w:rPr>
          <w:color w:val="auto"/>
        </w:rPr>
        <w:t xml:space="preserve"> is estimated</w:t>
      </w:r>
      <w:r w:rsidR="006958B1" w:rsidRPr="00616B01">
        <w:rPr>
          <w:color w:val="auto"/>
        </w:rPr>
        <w:t>, i</w:t>
      </w:r>
      <w:r w:rsidR="006958B1" w:rsidRPr="006958B1">
        <w:rPr>
          <w:color w:val="auto"/>
        </w:rPr>
        <w:t>.e. the end of the Neighbourhood Plan period</w:t>
      </w:r>
      <w:r w:rsidR="002C2D5C" w:rsidRPr="006958B1">
        <w:t xml:space="preserve"> (red in the table). The data is presented in </w:t>
      </w:r>
      <w:r w:rsidR="002C2D5C" w:rsidRPr="006958B1">
        <w:rPr>
          <w:color w:val="FF0000"/>
        </w:rPr>
        <w:fldChar w:fldCharType="begin"/>
      </w:r>
      <w:r w:rsidR="002C2D5C" w:rsidRPr="006958B1">
        <w:instrText xml:space="preserve"> REF _Ref2605510 \h </w:instrText>
      </w:r>
      <w:r w:rsidR="002C2D5C" w:rsidRPr="006958B1">
        <w:rPr>
          <w:color w:val="FF0000"/>
        </w:rPr>
        <w:instrText xml:space="preserve"> \* MERGEFORMAT </w:instrText>
      </w:r>
      <w:r w:rsidR="002C2D5C" w:rsidRPr="006958B1">
        <w:rPr>
          <w:color w:val="FF0000"/>
        </w:rPr>
      </w:r>
      <w:r w:rsidR="002C2D5C" w:rsidRPr="006958B1">
        <w:rPr>
          <w:color w:val="FF0000"/>
        </w:rPr>
        <w:fldChar w:fldCharType="separate"/>
      </w:r>
      <w:r w:rsidR="00603781" w:rsidRPr="002D4F56">
        <w:t xml:space="preserve">Table </w:t>
      </w:r>
      <w:r w:rsidR="00603781">
        <w:rPr>
          <w:noProof/>
        </w:rPr>
        <w:t>5</w:t>
      </w:r>
      <w:r w:rsidR="00603781">
        <w:rPr>
          <w:noProof/>
        </w:rPr>
        <w:noBreakHyphen/>
        <w:t>10</w:t>
      </w:r>
      <w:r w:rsidR="002C2D5C" w:rsidRPr="006958B1">
        <w:rPr>
          <w:color w:val="FF0000"/>
        </w:rPr>
        <w:fldChar w:fldCharType="end"/>
      </w:r>
      <w:r w:rsidR="002C2D5C" w:rsidRPr="006958B1">
        <w:rPr>
          <w:color w:val="FF0000"/>
        </w:rPr>
        <w:t xml:space="preserve"> </w:t>
      </w:r>
      <w:r w:rsidR="002C2D5C" w:rsidRPr="006958B1">
        <w:t>below.</w:t>
      </w:r>
    </w:p>
    <w:p w14:paraId="1E79D57F" w14:textId="60F68D28" w:rsidR="002C2D5C" w:rsidRPr="002D4F56" w:rsidRDefault="002C2D5C" w:rsidP="002C2D5C">
      <w:pPr>
        <w:pStyle w:val="Caption"/>
        <w:jc w:val="both"/>
        <w:rPr>
          <w:sz w:val="18"/>
          <w:szCs w:val="18"/>
        </w:rPr>
      </w:pPr>
      <w:bookmarkStart w:id="169" w:name="_Ref2605510"/>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603781">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603781">
        <w:rPr>
          <w:noProof/>
          <w:sz w:val="18"/>
          <w:szCs w:val="18"/>
        </w:rPr>
        <w:t>10</w:t>
      </w:r>
      <w:r w:rsidR="00BA4C32">
        <w:rPr>
          <w:sz w:val="18"/>
          <w:szCs w:val="18"/>
        </w:rPr>
        <w:fldChar w:fldCharType="end"/>
      </w:r>
      <w:bookmarkEnd w:id="169"/>
      <w:r w:rsidRPr="002D4F56">
        <w:rPr>
          <w:sz w:val="18"/>
          <w:szCs w:val="18"/>
        </w:rPr>
        <w:t>: Projected distribution of h</w:t>
      </w:r>
      <w:r w:rsidR="002D4F56">
        <w:rPr>
          <w:sz w:val="18"/>
          <w:szCs w:val="18"/>
        </w:rPr>
        <w:t xml:space="preserve">ouseholds by age of HRP, </w:t>
      </w:r>
      <w:r w:rsidR="00AC1378">
        <w:rPr>
          <w:sz w:val="18"/>
          <w:szCs w:val="18"/>
        </w:rPr>
        <w:t>former Weymouth and Portland LA</w:t>
      </w:r>
    </w:p>
    <w:tbl>
      <w:tblPr>
        <w:tblW w:w="4791" w:type="pct"/>
        <w:tblInd w:w="421" w:type="dxa"/>
        <w:tblLayout w:type="fixed"/>
        <w:tblLook w:val="04A0" w:firstRow="1" w:lastRow="0" w:firstColumn="1" w:lastColumn="0" w:noHBand="0" w:noVBand="1"/>
      </w:tblPr>
      <w:tblGrid>
        <w:gridCol w:w="1665"/>
        <w:gridCol w:w="1550"/>
        <w:gridCol w:w="1550"/>
        <w:gridCol w:w="1550"/>
        <w:gridCol w:w="1549"/>
        <w:gridCol w:w="1549"/>
      </w:tblGrid>
      <w:tr w:rsidR="002C2D5C" w:rsidRPr="00374C95" w14:paraId="1059C5C7" w14:textId="77777777" w:rsidTr="00C378B2">
        <w:trPr>
          <w:trHeight w:val="288"/>
        </w:trPr>
        <w:tc>
          <w:tcPr>
            <w:tcW w:w="884"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300254E" w14:textId="77777777" w:rsidR="002C2D5C" w:rsidRPr="00374C95" w:rsidRDefault="002C2D5C" w:rsidP="00C378B2">
            <w:pPr>
              <w:spacing w:line="240" w:lineRule="auto"/>
              <w:jc w:val="both"/>
              <w:rPr>
                <w:rFonts w:cstheme="minorHAnsi"/>
                <w:b/>
                <w:sz w:val="18"/>
                <w:szCs w:val="18"/>
              </w:rPr>
            </w:pPr>
            <w:r w:rsidRPr="00374C95">
              <w:rPr>
                <w:rFonts w:cstheme="minorHAnsi"/>
                <w:sz w:val="18"/>
                <w:szCs w:val="18"/>
              </w:rPr>
              <w:t> </w:t>
            </w:r>
            <w:r w:rsidRPr="00374C95">
              <w:rPr>
                <w:rFonts w:cstheme="minorHAnsi"/>
                <w:b/>
                <w:color w:val="FFFFFF" w:themeColor="background1"/>
                <w:sz w:val="18"/>
                <w:szCs w:val="18"/>
              </w:rPr>
              <w:t>Year</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14:paraId="77A3F5B4"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24 and under</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14:paraId="6815E875"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25 to 34</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14:paraId="2B83CA44"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35 to 54</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14:paraId="79F34C8B"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55 to 64</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14:paraId="05CC7965"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65 and over</w:t>
            </w:r>
          </w:p>
        </w:tc>
      </w:tr>
      <w:tr w:rsidR="003F5771" w:rsidRPr="00374C95" w14:paraId="43177A78" w14:textId="77777777" w:rsidTr="003F5771">
        <w:trPr>
          <w:trHeight w:val="288"/>
        </w:trPr>
        <w:tc>
          <w:tcPr>
            <w:tcW w:w="884" w:type="pct"/>
            <w:tcBorders>
              <w:top w:val="nil"/>
              <w:left w:val="single" w:sz="4" w:space="0" w:color="auto"/>
              <w:bottom w:val="single" w:sz="4" w:space="0" w:color="auto"/>
              <w:right w:val="single" w:sz="4" w:space="0" w:color="auto"/>
            </w:tcBorders>
            <w:shd w:val="clear" w:color="auto" w:fill="auto"/>
            <w:noWrap/>
            <w:vAlign w:val="center"/>
          </w:tcPr>
          <w:p w14:paraId="5F050B9A" w14:textId="6489AAC7" w:rsidR="003F5771" w:rsidRPr="003F5771" w:rsidRDefault="003F5771" w:rsidP="003F5771">
            <w:pPr>
              <w:spacing w:line="240" w:lineRule="auto"/>
              <w:jc w:val="both"/>
              <w:rPr>
                <w:sz w:val="18"/>
                <w:szCs w:val="18"/>
              </w:rPr>
            </w:pPr>
            <w:r w:rsidRPr="003F5771">
              <w:rPr>
                <w:sz w:val="18"/>
                <w:szCs w:val="18"/>
              </w:rPr>
              <w:t>2011</w:t>
            </w:r>
          </w:p>
        </w:tc>
        <w:tc>
          <w:tcPr>
            <w:tcW w:w="823" w:type="pct"/>
            <w:tcBorders>
              <w:top w:val="nil"/>
              <w:left w:val="nil"/>
              <w:bottom w:val="single" w:sz="4" w:space="0" w:color="auto"/>
              <w:right w:val="single" w:sz="4" w:space="0" w:color="auto"/>
            </w:tcBorders>
            <w:shd w:val="clear" w:color="auto" w:fill="auto"/>
            <w:noWrap/>
            <w:vAlign w:val="center"/>
          </w:tcPr>
          <w:p w14:paraId="5F9B0882" w14:textId="3B957347" w:rsidR="003F5771" w:rsidRPr="003F5771" w:rsidRDefault="003F5771" w:rsidP="003F5771">
            <w:pPr>
              <w:spacing w:line="240" w:lineRule="auto"/>
              <w:jc w:val="both"/>
              <w:rPr>
                <w:sz w:val="18"/>
                <w:szCs w:val="18"/>
              </w:rPr>
            </w:pPr>
            <w:r w:rsidRPr="003F5771">
              <w:rPr>
                <w:sz w:val="18"/>
                <w:szCs w:val="18"/>
              </w:rPr>
              <w:t>889</w:t>
            </w:r>
          </w:p>
        </w:tc>
        <w:tc>
          <w:tcPr>
            <w:tcW w:w="823" w:type="pct"/>
            <w:tcBorders>
              <w:top w:val="nil"/>
              <w:left w:val="nil"/>
              <w:bottom w:val="single" w:sz="4" w:space="0" w:color="auto"/>
              <w:right w:val="single" w:sz="4" w:space="0" w:color="auto"/>
            </w:tcBorders>
            <w:shd w:val="clear" w:color="auto" w:fill="auto"/>
            <w:noWrap/>
            <w:vAlign w:val="center"/>
          </w:tcPr>
          <w:p w14:paraId="59A23CD7" w14:textId="5971586C" w:rsidR="003F5771" w:rsidRPr="003F5771" w:rsidRDefault="003F5771" w:rsidP="003F5771">
            <w:pPr>
              <w:spacing w:line="240" w:lineRule="auto"/>
              <w:jc w:val="both"/>
              <w:rPr>
                <w:sz w:val="18"/>
                <w:szCs w:val="18"/>
              </w:rPr>
            </w:pPr>
            <w:r w:rsidRPr="003F5771">
              <w:rPr>
                <w:sz w:val="18"/>
                <w:szCs w:val="18"/>
              </w:rPr>
              <w:t>3,008</w:t>
            </w:r>
          </w:p>
        </w:tc>
        <w:tc>
          <w:tcPr>
            <w:tcW w:w="823" w:type="pct"/>
            <w:tcBorders>
              <w:top w:val="nil"/>
              <w:left w:val="nil"/>
              <w:bottom w:val="single" w:sz="4" w:space="0" w:color="auto"/>
              <w:right w:val="single" w:sz="4" w:space="0" w:color="auto"/>
            </w:tcBorders>
            <w:shd w:val="clear" w:color="auto" w:fill="auto"/>
            <w:noWrap/>
            <w:vAlign w:val="center"/>
          </w:tcPr>
          <w:p w14:paraId="4004E73C" w14:textId="53300FDA" w:rsidR="003F5771" w:rsidRPr="003F5771" w:rsidRDefault="003F5771" w:rsidP="003F5771">
            <w:pPr>
              <w:spacing w:line="240" w:lineRule="auto"/>
              <w:jc w:val="both"/>
              <w:rPr>
                <w:sz w:val="18"/>
                <w:szCs w:val="18"/>
              </w:rPr>
            </w:pPr>
            <w:r w:rsidRPr="003F5771">
              <w:rPr>
                <w:sz w:val="18"/>
                <w:szCs w:val="18"/>
              </w:rPr>
              <w:t>10,247</w:t>
            </w:r>
          </w:p>
        </w:tc>
        <w:tc>
          <w:tcPr>
            <w:tcW w:w="823" w:type="pct"/>
            <w:tcBorders>
              <w:top w:val="nil"/>
              <w:left w:val="nil"/>
              <w:bottom w:val="single" w:sz="4" w:space="0" w:color="auto"/>
              <w:right w:val="single" w:sz="4" w:space="0" w:color="auto"/>
            </w:tcBorders>
            <w:shd w:val="clear" w:color="auto" w:fill="auto"/>
            <w:noWrap/>
            <w:vAlign w:val="center"/>
          </w:tcPr>
          <w:p w14:paraId="1727CE8D" w14:textId="3860CBBD" w:rsidR="003F5771" w:rsidRPr="003F5771" w:rsidRDefault="003F5771" w:rsidP="003F5771">
            <w:pPr>
              <w:spacing w:line="240" w:lineRule="auto"/>
              <w:jc w:val="both"/>
              <w:rPr>
                <w:sz w:val="18"/>
                <w:szCs w:val="18"/>
              </w:rPr>
            </w:pPr>
            <w:r w:rsidRPr="003F5771">
              <w:rPr>
                <w:sz w:val="18"/>
                <w:szCs w:val="18"/>
              </w:rPr>
              <w:t>5,462</w:t>
            </w:r>
          </w:p>
        </w:tc>
        <w:tc>
          <w:tcPr>
            <w:tcW w:w="823" w:type="pct"/>
            <w:tcBorders>
              <w:top w:val="nil"/>
              <w:left w:val="nil"/>
              <w:bottom w:val="single" w:sz="4" w:space="0" w:color="auto"/>
              <w:right w:val="single" w:sz="4" w:space="0" w:color="auto"/>
            </w:tcBorders>
            <w:shd w:val="clear" w:color="auto" w:fill="auto"/>
            <w:noWrap/>
            <w:vAlign w:val="center"/>
          </w:tcPr>
          <w:p w14:paraId="6D2BC452" w14:textId="40708DBB" w:rsidR="003F5771" w:rsidRPr="003F5771" w:rsidRDefault="003F5771" w:rsidP="003F5771">
            <w:pPr>
              <w:spacing w:line="240" w:lineRule="auto"/>
              <w:jc w:val="both"/>
              <w:rPr>
                <w:sz w:val="18"/>
                <w:szCs w:val="18"/>
              </w:rPr>
            </w:pPr>
            <w:r w:rsidRPr="003F5771">
              <w:rPr>
                <w:sz w:val="18"/>
                <w:szCs w:val="18"/>
              </w:rPr>
              <w:t>8,929</w:t>
            </w:r>
          </w:p>
        </w:tc>
      </w:tr>
      <w:tr w:rsidR="003F5771" w:rsidRPr="00374C95" w14:paraId="0D1FD499" w14:textId="77777777" w:rsidTr="003F5771">
        <w:trPr>
          <w:trHeight w:val="288"/>
        </w:trPr>
        <w:tc>
          <w:tcPr>
            <w:tcW w:w="884" w:type="pct"/>
            <w:tcBorders>
              <w:top w:val="nil"/>
              <w:left w:val="single" w:sz="4" w:space="0" w:color="auto"/>
              <w:bottom w:val="single" w:sz="4" w:space="0" w:color="auto"/>
              <w:right w:val="single" w:sz="4" w:space="0" w:color="auto"/>
            </w:tcBorders>
            <w:shd w:val="clear" w:color="auto" w:fill="auto"/>
            <w:noWrap/>
            <w:vAlign w:val="center"/>
            <w:hideMark/>
          </w:tcPr>
          <w:p w14:paraId="76C23105" w14:textId="6BA6CBD8" w:rsidR="003F5771" w:rsidRPr="003F5771" w:rsidRDefault="003F5771" w:rsidP="003F5771">
            <w:pPr>
              <w:spacing w:line="240" w:lineRule="auto"/>
              <w:jc w:val="both"/>
              <w:rPr>
                <w:rFonts w:cstheme="minorHAnsi"/>
                <w:sz w:val="18"/>
                <w:szCs w:val="18"/>
              </w:rPr>
            </w:pPr>
            <w:r w:rsidRPr="003F5771">
              <w:rPr>
                <w:sz w:val="18"/>
                <w:szCs w:val="18"/>
              </w:rPr>
              <w:t>2018</w:t>
            </w:r>
          </w:p>
        </w:tc>
        <w:tc>
          <w:tcPr>
            <w:tcW w:w="823" w:type="pct"/>
            <w:tcBorders>
              <w:top w:val="nil"/>
              <w:left w:val="nil"/>
              <w:bottom w:val="single" w:sz="4" w:space="0" w:color="auto"/>
              <w:right w:val="single" w:sz="4" w:space="0" w:color="auto"/>
            </w:tcBorders>
            <w:shd w:val="clear" w:color="auto" w:fill="auto"/>
            <w:noWrap/>
            <w:vAlign w:val="center"/>
            <w:hideMark/>
          </w:tcPr>
          <w:p w14:paraId="12DF8E72" w14:textId="525684AA" w:rsidR="003F5771" w:rsidRPr="003F5771" w:rsidRDefault="003F5771" w:rsidP="003F5771">
            <w:pPr>
              <w:spacing w:line="240" w:lineRule="auto"/>
              <w:jc w:val="both"/>
              <w:rPr>
                <w:rFonts w:cstheme="minorHAnsi"/>
                <w:sz w:val="18"/>
                <w:szCs w:val="18"/>
              </w:rPr>
            </w:pPr>
            <w:r w:rsidRPr="003F5771">
              <w:rPr>
                <w:sz w:val="18"/>
                <w:szCs w:val="18"/>
              </w:rPr>
              <w:t>649</w:t>
            </w:r>
          </w:p>
        </w:tc>
        <w:tc>
          <w:tcPr>
            <w:tcW w:w="823" w:type="pct"/>
            <w:tcBorders>
              <w:top w:val="nil"/>
              <w:left w:val="nil"/>
              <w:bottom w:val="single" w:sz="4" w:space="0" w:color="auto"/>
              <w:right w:val="single" w:sz="4" w:space="0" w:color="auto"/>
            </w:tcBorders>
            <w:shd w:val="clear" w:color="auto" w:fill="auto"/>
            <w:noWrap/>
            <w:vAlign w:val="center"/>
            <w:hideMark/>
          </w:tcPr>
          <w:p w14:paraId="2568682F" w14:textId="2D3EA22A" w:rsidR="003F5771" w:rsidRPr="003F5771" w:rsidRDefault="003F5771" w:rsidP="003F5771">
            <w:pPr>
              <w:spacing w:line="240" w:lineRule="auto"/>
              <w:jc w:val="both"/>
              <w:rPr>
                <w:rFonts w:cstheme="minorHAnsi"/>
                <w:sz w:val="18"/>
                <w:szCs w:val="18"/>
              </w:rPr>
            </w:pPr>
            <w:r w:rsidRPr="003F5771">
              <w:rPr>
                <w:sz w:val="18"/>
                <w:szCs w:val="18"/>
              </w:rPr>
              <w:t>2,851</w:t>
            </w:r>
          </w:p>
        </w:tc>
        <w:tc>
          <w:tcPr>
            <w:tcW w:w="823" w:type="pct"/>
            <w:tcBorders>
              <w:top w:val="nil"/>
              <w:left w:val="nil"/>
              <w:bottom w:val="single" w:sz="4" w:space="0" w:color="auto"/>
              <w:right w:val="single" w:sz="4" w:space="0" w:color="auto"/>
            </w:tcBorders>
            <w:shd w:val="clear" w:color="auto" w:fill="auto"/>
            <w:noWrap/>
            <w:vAlign w:val="center"/>
            <w:hideMark/>
          </w:tcPr>
          <w:p w14:paraId="31719277" w14:textId="687E4872" w:rsidR="003F5771" w:rsidRPr="003F5771" w:rsidRDefault="003F5771" w:rsidP="003F5771">
            <w:pPr>
              <w:spacing w:line="240" w:lineRule="auto"/>
              <w:jc w:val="both"/>
              <w:rPr>
                <w:rFonts w:cstheme="minorHAnsi"/>
                <w:sz w:val="18"/>
                <w:szCs w:val="18"/>
              </w:rPr>
            </w:pPr>
            <w:r w:rsidRPr="003F5771">
              <w:rPr>
                <w:sz w:val="18"/>
                <w:szCs w:val="18"/>
              </w:rPr>
              <w:t>9,419</w:t>
            </w:r>
          </w:p>
        </w:tc>
        <w:tc>
          <w:tcPr>
            <w:tcW w:w="823" w:type="pct"/>
            <w:tcBorders>
              <w:top w:val="nil"/>
              <w:left w:val="nil"/>
              <w:bottom w:val="single" w:sz="4" w:space="0" w:color="auto"/>
              <w:right w:val="single" w:sz="4" w:space="0" w:color="auto"/>
            </w:tcBorders>
            <w:shd w:val="clear" w:color="auto" w:fill="auto"/>
            <w:noWrap/>
            <w:vAlign w:val="center"/>
            <w:hideMark/>
          </w:tcPr>
          <w:p w14:paraId="6D0CAC54" w14:textId="65C19EA5" w:rsidR="003F5771" w:rsidRPr="003F5771" w:rsidRDefault="003F5771" w:rsidP="003F5771">
            <w:pPr>
              <w:spacing w:line="240" w:lineRule="auto"/>
              <w:jc w:val="both"/>
              <w:rPr>
                <w:rFonts w:cstheme="minorHAnsi"/>
                <w:sz w:val="18"/>
                <w:szCs w:val="18"/>
              </w:rPr>
            </w:pPr>
            <w:r w:rsidRPr="003F5771">
              <w:rPr>
                <w:sz w:val="18"/>
                <w:szCs w:val="18"/>
              </w:rPr>
              <w:t>5,777</w:t>
            </w:r>
          </w:p>
        </w:tc>
        <w:tc>
          <w:tcPr>
            <w:tcW w:w="823" w:type="pct"/>
            <w:tcBorders>
              <w:top w:val="nil"/>
              <w:left w:val="nil"/>
              <w:bottom w:val="single" w:sz="4" w:space="0" w:color="auto"/>
              <w:right w:val="single" w:sz="4" w:space="0" w:color="auto"/>
            </w:tcBorders>
            <w:shd w:val="clear" w:color="auto" w:fill="auto"/>
            <w:noWrap/>
            <w:vAlign w:val="center"/>
            <w:hideMark/>
          </w:tcPr>
          <w:p w14:paraId="1A3C0F33" w14:textId="4625AA1E" w:rsidR="003F5771" w:rsidRPr="003F5771" w:rsidRDefault="003F5771" w:rsidP="003F5771">
            <w:pPr>
              <w:spacing w:line="240" w:lineRule="auto"/>
              <w:jc w:val="both"/>
              <w:rPr>
                <w:rFonts w:cstheme="minorHAnsi"/>
                <w:sz w:val="18"/>
                <w:szCs w:val="18"/>
              </w:rPr>
            </w:pPr>
            <w:r w:rsidRPr="003F5771">
              <w:rPr>
                <w:sz w:val="18"/>
                <w:szCs w:val="18"/>
              </w:rPr>
              <w:t>10,956</w:t>
            </w:r>
          </w:p>
        </w:tc>
      </w:tr>
      <w:tr w:rsidR="003F5771" w:rsidRPr="00374C95" w14:paraId="5CD0E368" w14:textId="77777777" w:rsidTr="003F5771">
        <w:trPr>
          <w:trHeight w:val="288"/>
        </w:trPr>
        <w:tc>
          <w:tcPr>
            <w:tcW w:w="884" w:type="pct"/>
            <w:tcBorders>
              <w:top w:val="nil"/>
              <w:left w:val="single" w:sz="4" w:space="0" w:color="auto"/>
              <w:bottom w:val="single" w:sz="4" w:space="0" w:color="auto"/>
              <w:right w:val="single" w:sz="4" w:space="0" w:color="auto"/>
            </w:tcBorders>
            <w:shd w:val="clear" w:color="auto" w:fill="auto"/>
            <w:noWrap/>
            <w:vAlign w:val="center"/>
          </w:tcPr>
          <w:p w14:paraId="192BA67C" w14:textId="3DBCBDC3" w:rsidR="003F5771" w:rsidRPr="003F5771" w:rsidRDefault="003F5771" w:rsidP="003F5771">
            <w:pPr>
              <w:spacing w:line="240" w:lineRule="auto"/>
              <w:jc w:val="both"/>
              <w:rPr>
                <w:rFonts w:cstheme="minorHAnsi"/>
                <w:b/>
                <w:bCs/>
                <w:color w:val="FF0000"/>
                <w:sz w:val="18"/>
                <w:szCs w:val="18"/>
              </w:rPr>
            </w:pPr>
            <w:r w:rsidRPr="003F5771">
              <w:rPr>
                <w:b/>
                <w:bCs/>
                <w:color w:val="FF0000"/>
                <w:sz w:val="18"/>
                <w:szCs w:val="18"/>
              </w:rPr>
              <w:t>2038</w:t>
            </w:r>
          </w:p>
        </w:tc>
        <w:tc>
          <w:tcPr>
            <w:tcW w:w="823" w:type="pct"/>
            <w:tcBorders>
              <w:top w:val="nil"/>
              <w:left w:val="nil"/>
              <w:bottom w:val="single" w:sz="4" w:space="0" w:color="auto"/>
              <w:right w:val="single" w:sz="4" w:space="0" w:color="auto"/>
            </w:tcBorders>
            <w:shd w:val="clear" w:color="auto" w:fill="auto"/>
            <w:noWrap/>
            <w:vAlign w:val="center"/>
          </w:tcPr>
          <w:p w14:paraId="3A9E9FAA" w14:textId="0967EFD2" w:rsidR="003F5771" w:rsidRPr="003F5771" w:rsidRDefault="003F5771" w:rsidP="003F5771">
            <w:pPr>
              <w:spacing w:line="240" w:lineRule="auto"/>
              <w:jc w:val="both"/>
              <w:rPr>
                <w:rFonts w:cstheme="minorHAnsi"/>
                <w:b/>
                <w:bCs/>
                <w:color w:val="FF0000"/>
                <w:sz w:val="18"/>
                <w:szCs w:val="18"/>
              </w:rPr>
            </w:pPr>
            <w:r w:rsidRPr="003F5771">
              <w:rPr>
                <w:b/>
                <w:bCs/>
                <w:color w:val="FF0000"/>
                <w:sz w:val="18"/>
                <w:szCs w:val="18"/>
              </w:rPr>
              <w:t>579</w:t>
            </w:r>
          </w:p>
        </w:tc>
        <w:tc>
          <w:tcPr>
            <w:tcW w:w="823" w:type="pct"/>
            <w:tcBorders>
              <w:top w:val="nil"/>
              <w:left w:val="nil"/>
              <w:bottom w:val="single" w:sz="4" w:space="0" w:color="auto"/>
              <w:right w:val="single" w:sz="4" w:space="0" w:color="auto"/>
            </w:tcBorders>
            <w:shd w:val="clear" w:color="auto" w:fill="auto"/>
            <w:noWrap/>
            <w:vAlign w:val="center"/>
          </w:tcPr>
          <w:p w14:paraId="72601492" w14:textId="78BF2A33" w:rsidR="003F5771" w:rsidRPr="003F5771" w:rsidRDefault="003F5771" w:rsidP="003F5771">
            <w:pPr>
              <w:spacing w:line="240" w:lineRule="auto"/>
              <w:jc w:val="both"/>
              <w:rPr>
                <w:rFonts w:cstheme="minorHAnsi"/>
                <w:b/>
                <w:bCs/>
                <w:color w:val="FF0000"/>
                <w:sz w:val="18"/>
                <w:szCs w:val="18"/>
              </w:rPr>
            </w:pPr>
            <w:r w:rsidRPr="003F5771">
              <w:rPr>
                <w:b/>
                <w:bCs/>
                <w:color w:val="FF0000"/>
                <w:sz w:val="18"/>
                <w:szCs w:val="18"/>
              </w:rPr>
              <w:t>2,726</w:t>
            </w:r>
          </w:p>
        </w:tc>
        <w:tc>
          <w:tcPr>
            <w:tcW w:w="823" w:type="pct"/>
            <w:tcBorders>
              <w:top w:val="nil"/>
              <w:left w:val="nil"/>
              <w:bottom w:val="single" w:sz="4" w:space="0" w:color="auto"/>
              <w:right w:val="single" w:sz="4" w:space="0" w:color="auto"/>
            </w:tcBorders>
            <w:shd w:val="clear" w:color="auto" w:fill="auto"/>
            <w:noWrap/>
            <w:vAlign w:val="center"/>
          </w:tcPr>
          <w:p w14:paraId="6B0220BE" w14:textId="45010960" w:rsidR="003F5771" w:rsidRPr="003F5771" w:rsidRDefault="003F5771" w:rsidP="003F5771">
            <w:pPr>
              <w:spacing w:line="240" w:lineRule="auto"/>
              <w:jc w:val="both"/>
              <w:rPr>
                <w:rFonts w:cstheme="minorHAnsi"/>
                <w:b/>
                <w:bCs/>
                <w:color w:val="FF0000"/>
                <w:sz w:val="18"/>
                <w:szCs w:val="18"/>
              </w:rPr>
            </w:pPr>
            <w:r w:rsidRPr="003F5771">
              <w:rPr>
                <w:b/>
                <w:bCs/>
                <w:color w:val="FF0000"/>
                <w:sz w:val="18"/>
                <w:szCs w:val="18"/>
              </w:rPr>
              <w:t>8,561</w:t>
            </w:r>
          </w:p>
        </w:tc>
        <w:tc>
          <w:tcPr>
            <w:tcW w:w="823" w:type="pct"/>
            <w:tcBorders>
              <w:top w:val="nil"/>
              <w:left w:val="nil"/>
              <w:bottom w:val="single" w:sz="4" w:space="0" w:color="auto"/>
              <w:right w:val="single" w:sz="4" w:space="0" w:color="auto"/>
            </w:tcBorders>
            <w:shd w:val="clear" w:color="auto" w:fill="auto"/>
            <w:noWrap/>
            <w:vAlign w:val="center"/>
          </w:tcPr>
          <w:p w14:paraId="4BAF1508" w14:textId="265EC72E" w:rsidR="003F5771" w:rsidRPr="003F5771" w:rsidRDefault="003F5771" w:rsidP="003F5771">
            <w:pPr>
              <w:spacing w:line="240" w:lineRule="auto"/>
              <w:jc w:val="both"/>
              <w:rPr>
                <w:rFonts w:cstheme="minorHAnsi"/>
                <w:b/>
                <w:bCs/>
                <w:color w:val="FF0000"/>
                <w:sz w:val="18"/>
                <w:szCs w:val="18"/>
              </w:rPr>
            </w:pPr>
            <w:r w:rsidRPr="003F5771">
              <w:rPr>
                <w:b/>
                <w:bCs/>
                <w:color w:val="FF0000"/>
                <w:sz w:val="18"/>
                <w:szCs w:val="18"/>
              </w:rPr>
              <w:t>5,820</w:t>
            </w:r>
          </w:p>
        </w:tc>
        <w:tc>
          <w:tcPr>
            <w:tcW w:w="823" w:type="pct"/>
            <w:tcBorders>
              <w:top w:val="nil"/>
              <w:left w:val="nil"/>
              <w:bottom w:val="single" w:sz="4" w:space="0" w:color="auto"/>
              <w:right w:val="single" w:sz="4" w:space="0" w:color="auto"/>
            </w:tcBorders>
            <w:shd w:val="clear" w:color="auto" w:fill="auto"/>
            <w:noWrap/>
            <w:vAlign w:val="center"/>
          </w:tcPr>
          <w:p w14:paraId="16C69F10" w14:textId="71B79950" w:rsidR="003F5771" w:rsidRPr="003F5771" w:rsidRDefault="003F5771" w:rsidP="003F5771">
            <w:pPr>
              <w:spacing w:line="240" w:lineRule="auto"/>
              <w:jc w:val="both"/>
              <w:rPr>
                <w:rFonts w:cstheme="minorHAnsi"/>
                <w:b/>
                <w:bCs/>
                <w:color w:val="FF0000"/>
                <w:sz w:val="18"/>
                <w:szCs w:val="18"/>
              </w:rPr>
            </w:pPr>
            <w:r w:rsidRPr="003F5771">
              <w:rPr>
                <w:b/>
                <w:bCs/>
                <w:color w:val="FF0000"/>
                <w:sz w:val="18"/>
                <w:szCs w:val="18"/>
              </w:rPr>
              <w:t>15,842</w:t>
            </w:r>
          </w:p>
        </w:tc>
      </w:tr>
      <w:tr w:rsidR="003F5771" w:rsidRPr="00374C95" w14:paraId="44DE412C" w14:textId="77777777" w:rsidTr="003F5771">
        <w:trPr>
          <w:trHeight w:val="288"/>
        </w:trPr>
        <w:tc>
          <w:tcPr>
            <w:tcW w:w="884" w:type="pct"/>
            <w:tcBorders>
              <w:top w:val="nil"/>
              <w:left w:val="single" w:sz="4" w:space="0" w:color="auto"/>
              <w:bottom w:val="single" w:sz="4" w:space="0" w:color="auto"/>
              <w:right w:val="single" w:sz="4" w:space="0" w:color="auto"/>
            </w:tcBorders>
            <w:shd w:val="clear" w:color="auto" w:fill="auto"/>
            <w:noWrap/>
            <w:vAlign w:val="center"/>
          </w:tcPr>
          <w:p w14:paraId="54B0E845" w14:textId="25CF2147" w:rsidR="003F5771" w:rsidRPr="003F5771" w:rsidRDefault="003F5771" w:rsidP="003F5771">
            <w:pPr>
              <w:spacing w:line="240" w:lineRule="auto"/>
              <w:jc w:val="both"/>
              <w:rPr>
                <w:rFonts w:cstheme="minorHAnsi"/>
                <w:sz w:val="18"/>
                <w:szCs w:val="18"/>
              </w:rPr>
            </w:pPr>
            <w:r w:rsidRPr="003F5771">
              <w:rPr>
                <w:sz w:val="18"/>
                <w:szCs w:val="18"/>
              </w:rPr>
              <w:t>2043</w:t>
            </w:r>
          </w:p>
        </w:tc>
        <w:tc>
          <w:tcPr>
            <w:tcW w:w="823" w:type="pct"/>
            <w:tcBorders>
              <w:top w:val="nil"/>
              <w:left w:val="nil"/>
              <w:bottom w:val="single" w:sz="4" w:space="0" w:color="auto"/>
              <w:right w:val="single" w:sz="4" w:space="0" w:color="auto"/>
            </w:tcBorders>
            <w:shd w:val="clear" w:color="auto" w:fill="auto"/>
            <w:noWrap/>
            <w:vAlign w:val="center"/>
          </w:tcPr>
          <w:p w14:paraId="21CB7097" w14:textId="23824C5A" w:rsidR="003F5771" w:rsidRPr="003F5771" w:rsidRDefault="003F5771" w:rsidP="003F5771">
            <w:pPr>
              <w:spacing w:line="240" w:lineRule="auto"/>
              <w:jc w:val="both"/>
              <w:rPr>
                <w:rFonts w:cstheme="minorHAnsi"/>
                <w:color w:val="FF0000"/>
                <w:sz w:val="18"/>
                <w:szCs w:val="18"/>
              </w:rPr>
            </w:pPr>
            <w:r w:rsidRPr="003F5771">
              <w:rPr>
                <w:sz w:val="18"/>
                <w:szCs w:val="18"/>
              </w:rPr>
              <w:t>561</w:t>
            </w:r>
          </w:p>
        </w:tc>
        <w:tc>
          <w:tcPr>
            <w:tcW w:w="823" w:type="pct"/>
            <w:tcBorders>
              <w:top w:val="nil"/>
              <w:left w:val="nil"/>
              <w:bottom w:val="single" w:sz="4" w:space="0" w:color="auto"/>
              <w:right w:val="single" w:sz="4" w:space="0" w:color="auto"/>
            </w:tcBorders>
            <w:shd w:val="clear" w:color="auto" w:fill="auto"/>
            <w:noWrap/>
            <w:vAlign w:val="center"/>
          </w:tcPr>
          <w:p w14:paraId="14AB1C50" w14:textId="21F4B98F" w:rsidR="003F5771" w:rsidRPr="003F5771" w:rsidRDefault="003F5771" w:rsidP="003F5771">
            <w:pPr>
              <w:spacing w:line="240" w:lineRule="auto"/>
              <w:jc w:val="both"/>
              <w:rPr>
                <w:rFonts w:cstheme="minorHAnsi"/>
                <w:color w:val="FF0000"/>
                <w:sz w:val="18"/>
                <w:szCs w:val="18"/>
              </w:rPr>
            </w:pPr>
            <w:r w:rsidRPr="003F5771">
              <w:rPr>
                <w:sz w:val="18"/>
                <w:szCs w:val="18"/>
              </w:rPr>
              <w:t>2,695</w:t>
            </w:r>
          </w:p>
        </w:tc>
        <w:tc>
          <w:tcPr>
            <w:tcW w:w="823" w:type="pct"/>
            <w:tcBorders>
              <w:top w:val="nil"/>
              <w:left w:val="nil"/>
              <w:bottom w:val="single" w:sz="4" w:space="0" w:color="auto"/>
              <w:right w:val="single" w:sz="4" w:space="0" w:color="auto"/>
            </w:tcBorders>
            <w:shd w:val="clear" w:color="auto" w:fill="auto"/>
            <w:noWrap/>
            <w:vAlign w:val="center"/>
          </w:tcPr>
          <w:p w14:paraId="0369D92C" w14:textId="66316D9A" w:rsidR="003F5771" w:rsidRPr="003F5771" w:rsidRDefault="003F5771" w:rsidP="003F5771">
            <w:pPr>
              <w:spacing w:line="240" w:lineRule="auto"/>
              <w:jc w:val="both"/>
              <w:rPr>
                <w:rFonts w:cstheme="minorHAnsi"/>
                <w:color w:val="FF0000"/>
                <w:sz w:val="18"/>
                <w:szCs w:val="18"/>
              </w:rPr>
            </w:pPr>
            <w:r w:rsidRPr="003F5771">
              <w:rPr>
                <w:sz w:val="18"/>
                <w:szCs w:val="18"/>
              </w:rPr>
              <w:t>8,346</w:t>
            </w:r>
          </w:p>
        </w:tc>
        <w:tc>
          <w:tcPr>
            <w:tcW w:w="823" w:type="pct"/>
            <w:tcBorders>
              <w:top w:val="nil"/>
              <w:left w:val="nil"/>
              <w:bottom w:val="single" w:sz="4" w:space="0" w:color="auto"/>
              <w:right w:val="single" w:sz="4" w:space="0" w:color="auto"/>
            </w:tcBorders>
            <w:shd w:val="clear" w:color="auto" w:fill="auto"/>
            <w:noWrap/>
            <w:vAlign w:val="center"/>
          </w:tcPr>
          <w:p w14:paraId="0EBD11A1" w14:textId="5B9368D5" w:rsidR="003F5771" w:rsidRPr="003F5771" w:rsidRDefault="003F5771" w:rsidP="003F5771">
            <w:pPr>
              <w:spacing w:line="240" w:lineRule="auto"/>
              <w:jc w:val="both"/>
              <w:rPr>
                <w:rFonts w:cstheme="minorHAnsi"/>
                <w:color w:val="FF0000"/>
                <w:sz w:val="18"/>
                <w:szCs w:val="18"/>
              </w:rPr>
            </w:pPr>
            <w:r w:rsidRPr="003F5771">
              <w:rPr>
                <w:sz w:val="18"/>
                <w:szCs w:val="18"/>
              </w:rPr>
              <w:t>5,831</w:t>
            </w:r>
          </w:p>
        </w:tc>
        <w:tc>
          <w:tcPr>
            <w:tcW w:w="823" w:type="pct"/>
            <w:tcBorders>
              <w:top w:val="nil"/>
              <w:left w:val="nil"/>
              <w:bottom w:val="single" w:sz="4" w:space="0" w:color="auto"/>
              <w:right w:val="single" w:sz="4" w:space="0" w:color="auto"/>
            </w:tcBorders>
            <w:shd w:val="clear" w:color="auto" w:fill="auto"/>
            <w:noWrap/>
            <w:vAlign w:val="center"/>
          </w:tcPr>
          <w:p w14:paraId="0659FA26" w14:textId="76E6D7CA" w:rsidR="003F5771" w:rsidRPr="003F5771" w:rsidRDefault="003F5771" w:rsidP="003F5771">
            <w:pPr>
              <w:spacing w:line="240" w:lineRule="auto"/>
              <w:jc w:val="both"/>
              <w:rPr>
                <w:rFonts w:cstheme="minorHAnsi"/>
                <w:color w:val="FF0000"/>
                <w:sz w:val="18"/>
                <w:szCs w:val="18"/>
              </w:rPr>
            </w:pPr>
            <w:r w:rsidRPr="003F5771">
              <w:rPr>
                <w:sz w:val="18"/>
                <w:szCs w:val="18"/>
              </w:rPr>
              <w:t>17,064</w:t>
            </w:r>
          </w:p>
        </w:tc>
      </w:tr>
    </w:tbl>
    <w:p w14:paraId="1D7705C2" w14:textId="77777777" w:rsidR="002C2D5C" w:rsidRPr="00374C95" w:rsidRDefault="002C2D5C" w:rsidP="002C2D5C">
      <w:pPr>
        <w:pStyle w:val="Source"/>
        <w:jc w:val="both"/>
        <w:rPr>
          <w:sz w:val="18"/>
          <w:szCs w:val="18"/>
          <w:lang w:val="en-GB"/>
        </w:rPr>
      </w:pPr>
      <w:r w:rsidRPr="00374C95">
        <w:rPr>
          <w:sz w:val="18"/>
          <w:szCs w:val="18"/>
          <w:lang w:val="en-GB"/>
        </w:rPr>
        <w:t>Source(s): MHCLG 2014-based household projections, ONS 2011, AECOM Calculations</w:t>
      </w:r>
    </w:p>
    <w:p w14:paraId="7A24B5F8" w14:textId="6D921317" w:rsidR="002C2D5C" w:rsidRPr="006958B1" w:rsidRDefault="00430AD8" w:rsidP="00A82210">
      <w:pPr>
        <w:pStyle w:val="ListNumber"/>
      </w:pPr>
      <w:r>
        <w:t>I</w:t>
      </w:r>
      <w:r w:rsidR="002C2D5C" w:rsidRPr="006958B1">
        <w:t xml:space="preserve">t is </w:t>
      </w:r>
      <w:r w:rsidR="006958B1">
        <w:t xml:space="preserve">then </w:t>
      </w:r>
      <w:r w:rsidR="002C2D5C" w:rsidRPr="006958B1">
        <w:t xml:space="preserve">necessary to </w:t>
      </w:r>
      <w:r w:rsidR="006958B1">
        <w:t xml:space="preserve">extrapolate from this </w:t>
      </w:r>
      <w:r w:rsidR="0015269D">
        <w:t>LA</w:t>
      </w:r>
      <w:r w:rsidR="006958B1">
        <w:t xml:space="preserve">-level data </w:t>
      </w:r>
      <w:r w:rsidR="002C2D5C" w:rsidRPr="006958B1">
        <w:t xml:space="preserve">an estimate of the </w:t>
      </w:r>
      <w:r w:rsidR="006958B1">
        <w:t>corresponding change in</w:t>
      </w:r>
      <w:r w:rsidR="002C2D5C" w:rsidRPr="006958B1">
        <w:t xml:space="preserve"> the age structure of the population in </w:t>
      </w:r>
      <w:r w:rsidR="0015105E">
        <w:t>Weymouth</w:t>
      </w:r>
      <w:r w:rsidR="002C2D5C" w:rsidRPr="006958B1">
        <w:t xml:space="preserve">. To do so, the percentage increase </w:t>
      </w:r>
      <w:r w:rsidR="006958B1">
        <w:t>expected for each group across</w:t>
      </w:r>
      <w:r w:rsidR="002C2D5C" w:rsidRPr="006958B1">
        <w:t xml:space="preserve"> </w:t>
      </w:r>
      <w:r w:rsidR="00AC1378">
        <w:t>the former Weymouth and Portland LA</w:t>
      </w:r>
      <w:r w:rsidR="002C2D5C" w:rsidRPr="006958B1">
        <w:t>, der</w:t>
      </w:r>
      <w:r w:rsidR="006958B1">
        <w:t>ived from the data presented above was mapped to</w:t>
      </w:r>
      <w:r w:rsidR="002C2D5C" w:rsidRPr="006958B1">
        <w:t xml:space="preserve"> the population of </w:t>
      </w:r>
      <w:r w:rsidR="0015105E">
        <w:t>Weymouth</w:t>
      </w:r>
      <w:r w:rsidR="006958B1">
        <w:t>. The results of this</w:t>
      </w:r>
      <w:r w:rsidR="002C2D5C" w:rsidRPr="006958B1">
        <w:t xml:space="preserve"> calculation are detailed in </w:t>
      </w:r>
      <w:r w:rsidR="002C2D5C" w:rsidRPr="006958B1">
        <w:fldChar w:fldCharType="begin"/>
      </w:r>
      <w:r w:rsidR="002C2D5C" w:rsidRPr="006958B1">
        <w:instrText xml:space="preserve"> REF _Ref2610232 \h  \* MERGEFORMAT </w:instrText>
      </w:r>
      <w:r w:rsidR="002C2D5C" w:rsidRPr="006958B1">
        <w:fldChar w:fldCharType="separate"/>
      </w:r>
      <w:r w:rsidR="00603781" w:rsidRPr="002D4F56">
        <w:t xml:space="preserve">Table </w:t>
      </w:r>
      <w:r w:rsidR="00603781">
        <w:rPr>
          <w:noProof/>
        </w:rPr>
        <w:t>5</w:t>
      </w:r>
      <w:r w:rsidR="00603781">
        <w:rPr>
          <w:noProof/>
        </w:rPr>
        <w:noBreakHyphen/>
        <w:t>11</w:t>
      </w:r>
      <w:r w:rsidR="002C2D5C" w:rsidRPr="006958B1">
        <w:fldChar w:fldCharType="end"/>
      </w:r>
      <w:r w:rsidR="002C2D5C" w:rsidRPr="006958B1">
        <w:t xml:space="preserve"> below: </w:t>
      </w:r>
    </w:p>
    <w:p w14:paraId="6D65EAC5" w14:textId="42866CF2" w:rsidR="002C2D5C" w:rsidRPr="002D4F56" w:rsidRDefault="002C2D5C" w:rsidP="002C2D5C">
      <w:pPr>
        <w:pStyle w:val="Caption"/>
        <w:jc w:val="both"/>
        <w:rPr>
          <w:sz w:val="18"/>
          <w:szCs w:val="18"/>
        </w:rPr>
      </w:pPr>
      <w:bookmarkStart w:id="170" w:name="_Ref2610232"/>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11</w:t>
      </w:r>
      <w:r w:rsidR="00BA4C32">
        <w:rPr>
          <w:sz w:val="18"/>
          <w:szCs w:val="18"/>
        </w:rPr>
        <w:fldChar w:fldCharType="end"/>
      </w:r>
      <w:bookmarkEnd w:id="170"/>
      <w:r w:rsidRPr="002D4F56">
        <w:rPr>
          <w:sz w:val="18"/>
          <w:szCs w:val="18"/>
        </w:rPr>
        <w:t>: Projected distribution of h</w:t>
      </w:r>
      <w:r w:rsidR="00374C95" w:rsidRPr="002D4F56">
        <w:rPr>
          <w:sz w:val="18"/>
          <w:szCs w:val="18"/>
        </w:rPr>
        <w:t xml:space="preserve">ouseholds by age of HRP, </w:t>
      </w:r>
      <w:r w:rsidR="0015105E">
        <w:rPr>
          <w:sz w:val="18"/>
          <w:szCs w:val="18"/>
        </w:rPr>
        <w:t>Weymouth</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0"/>
        <w:gridCol w:w="1549"/>
        <w:gridCol w:w="1549"/>
        <w:gridCol w:w="1549"/>
        <w:gridCol w:w="1549"/>
      </w:tblGrid>
      <w:tr w:rsidR="002C2D5C" w:rsidRPr="00374C95" w14:paraId="5F866ADE" w14:textId="77777777" w:rsidTr="003379D3">
        <w:trPr>
          <w:trHeight w:val="288"/>
        </w:trPr>
        <w:tc>
          <w:tcPr>
            <w:tcW w:w="885" w:type="pct"/>
            <w:shd w:val="clear" w:color="auto" w:fill="000000" w:themeFill="text1"/>
            <w:noWrap/>
            <w:vAlign w:val="center"/>
            <w:hideMark/>
          </w:tcPr>
          <w:p w14:paraId="79EC752F" w14:textId="77777777" w:rsidR="002C2D5C" w:rsidRPr="00374C95" w:rsidRDefault="002C2D5C" w:rsidP="00C378B2">
            <w:pPr>
              <w:spacing w:line="240" w:lineRule="auto"/>
              <w:jc w:val="both"/>
              <w:rPr>
                <w:rFonts w:cstheme="minorHAnsi"/>
                <w:b/>
                <w:sz w:val="18"/>
                <w:szCs w:val="18"/>
              </w:rPr>
            </w:pPr>
            <w:r w:rsidRPr="00374C95">
              <w:rPr>
                <w:rFonts w:cstheme="minorHAnsi"/>
                <w:sz w:val="18"/>
                <w:szCs w:val="18"/>
              </w:rPr>
              <w:t> </w:t>
            </w:r>
            <w:r w:rsidRPr="00374C95">
              <w:rPr>
                <w:rFonts w:cstheme="minorHAnsi"/>
                <w:b/>
                <w:color w:val="FFFFFF" w:themeColor="background1"/>
                <w:sz w:val="18"/>
                <w:szCs w:val="18"/>
              </w:rPr>
              <w:t>Year</w:t>
            </w:r>
          </w:p>
        </w:tc>
        <w:tc>
          <w:tcPr>
            <w:tcW w:w="823" w:type="pct"/>
            <w:shd w:val="clear" w:color="000000" w:fill="000000"/>
            <w:noWrap/>
            <w:vAlign w:val="center"/>
            <w:hideMark/>
          </w:tcPr>
          <w:p w14:paraId="7F588262"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24 and under</w:t>
            </w:r>
          </w:p>
        </w:tc>
        <w:tc>
          <w:tcPr>
            <w:tcW w:w="823" w:type="pct"/>
            <w:shd w:val="clear" w:color="000000" w:fill="000000"/>
            <w:noWrap/>
            <w:vAlign w:val="center"/>
            <w:hideMark/>
          </w:tcPr>
          <w:p w14:paraId="018EE29D"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25 to 34</w:t>
            </w:r>
          </w:p>
        </w:tc>
        <w:tc>
          <w:tcPr>
            <w:tcW w:w="823" w:type="pct"/>
            <w:shd w:val="clear" w:color="000000" w:fill="000000"/>
            <w:noWrap/>
            <w:vAlign w:val="center"/>
            <w:hideMark/>
          </w:tcPr>
          <w:p w14:paraId="619861FF"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35 to 54</w:t>
            </w:r>
          </w:p>
        </w:tc>
        <w:tc>
          <w:tcPr>
            <w:tcW w:w="823" w:type="pct"/>
            <w:shd w:val="clear" w:color="000000" w:fill="000000"/>
            <w:noWrap/>
            <w:vAlign w:val="center"/>
            <w:hideMark/>
          </w:tcPr>
          <w:p w14:paraId="2DF45FFC"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55 to 64</w:t>
            </w:r>
          </w:p>
        </w:tc>
        <w:tc>
          <w:tcPr>
            <w:tcW w:w="823" w:type="pct"/>
            <w:shd w:val="clear" w:color="000000" w:fill="000000"/>
            <w:noWrap/>
            <w:vAlign w:val="center"/>
            <w:hideMark/>
          </w:tcPr>
          <w:p w14:paraId="13131E84" w14:textId="77777777"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65 and over</w:t>
            </w:r>
          </w:p>
        </w:tc>
      </w:tr>
      <w:tr w:rsidR="003F5771" w:rsidRPr="00374C95" w14:paraId="6EBE39BD" w14:textId="77777777" w:rsidTr="003F5771">
        <w:trPr>
          <w:trHeight w:val="300"/>
        </w:trPr>
        <w:tc>
          <w:tcPr>
            <w:tcW w:w="885" w:type="pct"/>
            <w:shd w:val="clear" w:color="auto" w:fill="auto"/>
            <w:noWrap/>
            <w:vAlign w:val="center"/>
            <w:hideMark/>
          </w:tcPr>
          <w:p w14:paraId="42BEBA56" w14:textId="540640D7" w:rsidR="003F5771" w:rsidRPr="003F5771" w:rsidRDefault="003F5771" w:rsidP="003F5771">
            <w:pPr>
              <w:spacing w:line="240" w:lineRule="auto"/>
              <w:jc w:val="both"/>
              <w:rPr>
                <w:rFonts w:cstheme="minorHAnsi"/>
                <w:sz w:val="18"/>
                <w:szCs w:val="18"/>
              </w:rPr>
            </w:pPr>
            <w:r w:rsidRPr="003F5771">
              <w:rPr>
                <w:sz w:val="18"/>
                <w:szCs w:val="18"/>
              </w:rPr>
              <w:t>2011</w:t>
            </w:r>
          </w:p>
        </w:tc>
        <w:tc>
          <w:tcPr>
            <w:tcW w:w="823" w:type="pct"/>
            <w:shd w:val="clear" w:color="auto" w:fill="auto"/>
            <w:noWrap/>
            <w:vAlign w:val="center"/>
            <w:hideMark/>
          </w:tcPr>
          <w:p w14:paraId="29FF6077" w14:textId="0232E310" w:rsidR="003F5771" w:rsidRPr="003F5771" w:rsidRDefault="003F5771" w:rsidP="003F5771">
            <w:pPr>
              <w:spacing w:line="240" w:lineRule="auto"/>
              <w:jc w:val="both"/>
              <w:rPr>
                <w:rFonts w:cstheme="minorHAnsi"/>
                <w:sz w:val="18"/>
                <w:szCs w:val="18"/>
              </w:rPr>
            </w:pPr>
            <w:r w:rsidRPr="003F5771">
              <w:rPr>
                <w:sz w:val="18"/>
                <w:szCs w:val="18"/>
              </w:rPr>
              <w:t>710</w:t>
            </w:r>
          </w:p>
        </w:tc>
        <w:tc>
          <w:tcPr>
            <w:tcW w:w="823" w:type="pct"/>
            <w:shd w:val="clear" w:color="auto" w:fill="auto"/>
            <w:noWrap/>
            <w:vAlign w:val="center"/>
            <w:hideMark/>
          </w:tcPr>
          <w:p w14:paraId="45248C4C" w14:textId="53CFCFD6" w:rsidR="003F5771" w:rsidRPr="003F5771" w:rsidRDefault="003F5771" w:rsidP="003F5771">
            <w:pPr>
              <w:spacing w:line="240" w:lineRule="auto"/>
              <w:jc w:val="both"/>
              <w:rPr>
                <w:rFonts w:cstheme="minorHAnsi"/>
                <w:sz w:val="18"/>
                <w:szCs w:val="18"/>
              </w:rPr>
            </w:pPr>
            <w:r w:rsidRPr="003F5771">
              <w:rPr>
                <w:sz w:val="18"/>
                <w:szCs w:val="18"/>
              </w:rPr>
              <w:t>2,452</w:t>
            </w:r>
          </w:p>
        </w:tc>
        <w:tc>
          <w:tcPr>
            <w:tcW w:w="823" w:type="pct"/>
            <w:shd w:val="clear" w:color="auto" w:fill="auto"/>
            <w:noWrap/>
            <w:vAlign w:val="center"/>
            <w:hideMark/>
          </w:tcPr>
          <w:p w14:paraId="26271BFF" w14:textId="4FE5D0B7" w:rsidR="003F5771" w:rsidRPr="003F5771" w:rsidRDefault="003F5771" w:rsidP="003F5771">
            <w:pPr>
              <w:spacing w:line="240" w:lineRule="auto"/>
              <w:jc w:val="both"/>
              <w:rPr>
                <w:rFonts w:cstheme="minorHAnsi"/>
                <w:sz w:val="18"/>
                <w:szCs w:val="18"/>
              </w:rPr>
            </w:pPr>
            <w:r w:rsidRPr="003F5771">
              <w:rPr>
                <w:sz w:val="18"/>
                <w:szCs w:val="18"/>
              </w:rPr>
              <w:t>8,284</w:t>
            </w:r>
          </w:p>
        </w:tc>
        <w:tc>
          <w:tcPr>
            <w:tcW w:w="823" w:type="pct"/>
            <w:shd w:val="clear" w:color="auto" w:fill="auto"/>
            <w:noWrap/>
            <w:vAlign w:val="center"/>
            <w:hideMark/>
          </w:tcPr>
          <w:p w14:paraId="4569DE0D" w14:textId="098654CF" w:rsidR="003F5771" w:rsidRPr="003F5771" w:rsidRDefault="003F5771" w:rsidP="003F5771">
            <w:pPr>
              <w:spacing w:line="240" w:lineRule="auto"/>
              <w:jc w:val="both"/>
              <w:rPr>
                <w:rFonts w:cstheme="minorHAnsi"/>
                <w:sz w:val="18"/>
                <w:szCs w:val="18"/>
              </w:rPr>
            </w:pPr>
            <w:r w:rsidRPr="003F5771">
              <w:rPr>
                <w:sz w:val="18"/>
                <w:szCs w:val="18"/>
              </w:rPr>
              <w:t>4,394</w:t>
            </w:r>
          </w:p>
        </w:tc>
        <w:tc>
          <w:tcPr>
            <w:tcW w:w="823" w:type="pct"/>
            <w:shd w:val="clear" w:color="auto" w:fill="auto"/>
            <w:noWrap/>
            <w:vAlign w:val="center"/>
            <w:hideMark/>
          </w:tcPr>
          <w:p w14:paraId="09787F74" w14:textId="4A86C280" w:rsidR="003F5771" w:rsidRPr="003F5771" w:rsidRDefault="003F5771" w:rsidP="003F5771">
            <w:pPr>
              <w:spacing w:line="240" w:lineRule="auto"/>
              <w:jc w:val="both"/>
              <w:rPr>
                <w:rFonts w:cstheme="minorHAnsi"/>
                <w:sz w:val="18"/>
                <w:szCs w:val="18"/>
              </w:rPr>
            </w:pPr>
            <w:r w:rsidRPr="003F5771">
              <w:rPr>
                <w:sz w:val="18"/>
                <w:szCs w:val="18"/>
              </w:rPr>
              <w:t>7,520</w:t>
            </w:r>
          </w:p>
        </w:tc>
      </w:tr>
      <w:tr w:rsidR="003F5771" w:rsidRPr="00374C95" w14:paraId="2CC5F58E" w14:textId="77777777" w:rsidTr="003F5771">
        <w:trPr>
          <w:trHeight w:val="300"/>
        </w:trPr>
        <w:tc>
          <w:tcPr>
            <w:tcW w:w="885" w:type="pct"/>
            <w:shd w:val="clear" w:color="auto" w:fill="auto"/>
            <w:noWrap/>
            <w:vAlign w:val="center"/>
            <w:hideMark/>
          </w:tcPr>
          <w:p w14:paraId="12B9F522" w14:textId="77D80B03" w:rsidR="003F5771" w:rsidRPr="003F5771" w:rsidRDefault="003F5771" w:rsidP="003F5771">
            <w:pPr>
              <w:spacing w:line="240" w:lineRule="auto"/>
              <w:jc w:val="both"/>
              <w:rPr>
                <w:rFonts w:cstheme="minorHAnsi"/>
                <w:sz w:val="18"/>
                <w:szCs w:val="18"/>
              </w:rPr>
            </w:pPr>
            <w:r w:rsidRPr="003F5771">
              <w:rPr>
                <w:sz w:val="18"/>
                <w:szCs w:val="18"/>
              </w:rPr>
              <w:t>2018</w:t>
            </w:r>
          </w:p>
        </w:tc>
        <w:tc>
          <w:tcPr>
            <w:tcW w:w="823" w:type="pct"/>
            <w:shd w:val="clear" w:color="auto" w:fill="auto"/>
            <w:noWrap/>
            <w:vAlign w:val="center"/>
            <w:hideMark/>
          </w:tcPr>
          <w:p w14:paraId="02FDDB5E" w14:textId="3A42AAC9" w:rsidR="003F5771" w:rsidRPr="003F5771" w:rsidRDefault="003F5771" w:rsidP="003F5771">
            <w:pPr>
              <w:spacing w:line="240" w:lineRule="auto"/>
              <w:jc w:val="both"/>
              <w:rPr>
                <w:rFonts w:cstheme="minorHAnsi"/>
                <w:sz w:val="18"/>
                <w:szCs w:val="18"/>
              </w:rPr>
            </w:pPr>
            <w:r w:rsidRPr="003F5771">
              <w:rPr>
                <w:sz w:val="18"/>
                <w:szCs w:val="18"/>
              </w:rPr>
              <w:t>518</w:t>
            </w:r>
          </w:p>
        </w:tc>
        <w:tc>
          <w:tcPr>
            <w:tcW w:w="823" w:type="pct"/>
            <w:shd w:val="clear" w:color="auto" w:fill="auto"/>
            <w:noWrap/>
            <w:vAlign w:val="center"/>
            <w:hideMark/>
          </w:tcPr>
          <w:p w14:paraId="5FD55999" w14:textId="26D7F712" w:rsidR="003F5771" w:rsidRPr="003F5771" w:rsidRDefault="003F5771" w:rsidP="003F5771">
            <w:pPr>
              <w:spacing w:line="240" w:lineRule="auto"/>
              <w:jc w:val="both"/>
              <w:rPr>
                <w:rFonts w:cstheme="minorHAnsi"/>
                <w:sz w:val="18"/>
                <w:szCs w:val="18"/>
              </w:rPr>
            </w:pPr>
            <w:r w:rsidRPr="003F5771">
              <w:rPr>
                <w:sz w:val="18"/>
                <w:szCs w:val="18"/>
              </w:rPr>
              <w:t>2,324</w:t>
            </w:r>
          </w:p>
        </w:tc>
        <w:tc>
          <w:tcPr>
            <w:tcW w:w="823" w:type="pct"/>
            <w:shd w:val="clear" w:color="auto" w:fill="auto"/>
            <w:noWrap/>
            <w:vAlign w:val="center"/>
            <w:hideMark/>
          </w:tcPr>
          <w:p w14:paraId="16DB221F" w14:textId="7405B8FE" w:rsidR="003F5771" w:rsidRPr="003F5771" w:rsidRDefault="003F5771" w:rsidP="003F5771">
            <w:pPr>
              <w:spacing w:line="240" w:lineRule="auto"/>
              <w:jc w:val="both"/>
              <w:rPr>
                <w:rFonts w:cstheme="minorHAnsi"/>
                <w:sz w:val="18"/>
                <w:szCs w:val="18"/>
              </w:rPr>
            </w:pPr>
            <w:r w:rsidRPr="003F5771">
              <w:rPr>
                <w:sz w:val="18"/>
                <w:szCs w:val="18"/>
              </w:rPr>
              <w:t>7,615</w:t>
            </w:r>
          </w:p>
        </w:tc>
        <w:tc>
          <w:tcPr>
            <w:tcW w:w="823" w:type="pct"/>
            <w:shd w:val="clear" w:color="auto" w:fill="auto"/>
            <w:noWrap/>
            <w:vAlign w:val="center"/>
            <w:hideMark/>
          </w:tcPr>
          <w:p w14:paraId="6FB8BA14" w14:textId="270BA88E" w:rsidR="003F5771" w:rsidRPr="003F5771" w:rsidRDefault="003F5771" w:rsidP="003F5771">
            <w:pPr>
              <w:spacing w:line="240" w:lineRule="auto"/>
              <w:jc w:val="both"/>
              <w:rPr>
                <w:rFonts w:cstheme="minorHAnsi"/>
                <w:sz w:val="18"/>
                <w:szCs w:val="18"/>
              </w:rPr>
            </w:pPr>
            <w:r w:rsidRPr="003F5771">
              <w:rPr>
                <w:sz w:val="18"/>
                <w:szCs w:val="18"/>
              </w:rPr>
              <w:t>4,647</w:t>
            </w:r>
          </w:p>
        </w:tc>
        <w:tc>
          <w:tcPr>
            <w:tcW w:w="823" w:type="pct"/>
            <w:shd w:val="clear" w:color="auto" w:fill="auto"/>
            <w:noWrap/>
            <w:vAlign w:val="center"/>
            <w:hideMark/>
          </w:tcPr>
          <w:p w14:paraId="1CC781A9" w14:textId="1E50DD8C" w:rsidR="003F5771" w:rsidRPr="003F5771" w:rsidRDefault="003F5771" w:rsidP="003F5771">
            <w:pPr>
              <w:spacing w:line="240" w:lineRule="auto"/>
              <w:jc w:val="both"/>
              <w:rPr>
                <w:rFonts w:cstheme="minorHAnsi"/>
                <w:sz w:val="18"/>
                <w:szCs w:val="18"/>
              </w:rPr>
            </w:pPr>
            <w:r w:rsidRPr="003F5771">
              <w:rPr>
                <w:sz w:val="18"/>
                <w:szCs w:val="18"/>
              </w:rPr>
              <w:t>9,227</w:t>
            </w:r>
          </w:p>
        </w:tc>
      </w:tr>
      <w:tr w:rsidR="003F5771" w:rsidRPr="00374C95" w14:paraId="7071198C" w14:textId="77777777" w:rsidTr="003F5771">
        <w:trPr>
          <w:trHeight w:val="300"/>
        </w:trPr>
        <w:tc>
          <w:tcPr>
            <w:tcW w:w="885" w:type="pct"/>
            <w:shd w:val="clear" w:color="auto" w:fill="auto"/>
            <w:noWrap/>
            <w:vAlign w:val="center"/>
            <w:hideMark/>
          </w:tcPr>
          <w:p w14:paraId="416A152A" w14:textId="5954D579" w:rsidR="003F5771" w:rsidRPr="003F5771" w:rsidRDefault="003F5771" w:rsidP="003F5771">
            <w:pPr>
              <w:spacing w:line="240" w:lineRule="auto"/>
              <w:jc w:val="both"/>
              <w:rPr>
                <w:rFonts w:cstheme="minorHAnsi"/>
                <w:sz w:val="18"/>
                <w:szCs w:val="18"/>
              </w:rPr>
            </w:pPr>
            <w:r w:rsidRPr="003F5771">
              <w:rPr>
                <w:sz w:val="18"/>
                <w:szCs w:val="18"/>
              </w:rPr>
              <w:t>2038</w:t>
            </w:r>
          </w:p>
        </w:tc>
        <w:tc>
          <w:tcPr>
            <w:tcW w:w="823" w:type="pct"/>
            <w:shd w:val="clear" w:color="auto" w:fill="auto"/>
            <w:noWrap/>
            <w:vAlign w:val="center"/>
            <w:hideMark/>
          </w:tcPr>
          <w:p w14:paraId="1DBAB82A" w14:textId="4208C790" w:rsidR="003F5771" w:rsidRPr="003F5771" w:rsidRDefault="003F5771" w:rsidP="003F5771">
            <w:pPr>
              <w:spacing w:line="240" w:lineRule="auto"/>
              <w:jc w:val="both"/>
              <w:rPr>
                <w:rFonts w:cstheme="minorHAnsi"/>
                <w:sz w:val="18"/>
                <w:szCs w:val="18"/>
              </w:rPr>
            </w:pPr>
            <w:r w:rsidRPr="003F5771">
              <w:rPr>
                <w:sz w:val="18"/>
                <w:szCs w:val="18"/>
              </w:rPr>
              <w:t>462</w:t>
            </w:r>
          </w:p>
        </w:tc>
        <w:tc>
          <w:tcPr>
            <w:tcW w:w="823" w:type="pct"/>
            <w:shd w:val="clear" w:color="auto" w:fill="auto"/>
            <w:noWrap/>
            <w:vAlign w:val="center"/>
            <w:hideMark/>
          </w:tcPr>
          <w:p w14:paraId="1F37D6D0" w14:textId="5D4DDAA5" w:rsidR="003F5771" w:rsidRPr="003F5771" w:rsidRDefault="003F5771" w:rsidP="003F5771">
            <w:pPr>
              <w:spacing w:line="240" w:lineRule="auto"/>
              <w:jc w:val="both"/>
              <w:rPr>
                <w:rFonts w:cstheme="minorHAnsi"/>
                <w:sz w:val="18"/>
                <w:szCs w:val="18"/>
              </w:rPr>
            </w:pPr>
            <w:r w:rsidRPr="003F5771">
              <w:rPr>
                <w:sz w:val="18"/>
                <w:szCs w:val="18"/>
              </w:rPr>
              <w:t>2,222</w:t>
            </w:r>
          </w:p>
        </w:tc>
        <w:tc>
          <w:tcPr>
            <w:tcW w:w="823" w:type="pct"/>
            <w:shd w:val="clear" w:color="auto" w:fill="auto"/>
            <w:noWrap/>
            <w:vAlign w:val="center"/>
            <w:hideMark/>
          </w:tcPr>
          <w:p w14:paraId="3C389BD7" w14:textId="6E30F5C4" w:rsidR="003F5771" w:rsidRPr="003F5771" w:rsidRDefault="003F5771" w:rsidP="003F5771">
            <w:pPr>
              <w:spacing w:line="240" w:lineRule="auto"/>
              <w:jc w:val="both"/>
              <w:rPr>
                <w:rFonts w:cstheme="minorHAnsi"/>
                <w:sz w:val="18"/>
                <w:szCs w:val="18"/>
              </w:rPr>
            </w:pPr>
            <w:r w:rsidRPr="003F5771">
              <w:rPr>
                <w:sz w:val="18"/>
                <w:szCs w:val="18"/>
              </w:rPr>
              <w:t>6,921</w:t>
            </w:r>
          </w:p>
        </w:tc>
        <w:tc>
          <w:tcPr>
            <w:tcW w:w="823" w:type="pct"/>
            <w:shd w:val="clear" w:color="auto" w:fill="auto"/>
            <w:noWrap/>
            <w:vAlign w:val="center"/>
            <w:hideMark/>
          </w:tcPr>
          <w:p w14:paraId="62BF5C5F" w14:textId="344BD13A" w:rsidR="003F5771" w:rsidRPr="003F5771" w:rsidRDefault="003F5771" w:rsidP="003F5771">
            <w:pPr>
              <w:spacing w:line="240" w:lineRule="auto"/>
              <w:jc w:val="both"/>
              <w:rPr>
                <w:rFonts w:cstheme="minorHAnsi"/>
                <w:sz w:val="18"/>
                <w:szCs w:val="18"/>
              </w:rPr>
            </w:pPr>
            <w:r w:rsidRPr="003F5771">
              <w:rPr>
                <w:sz w:val="18"/>
                <w:szCs w:val="18"/>
              </w:rPr>
              <w:t>4,682</w:t>
            </w:r>
          </w:p>
        </w:tc>
        <w:tc>
          <w:tcPr>
            <w:tcW w:w="823" w:type="pct"/>
            <w:shd w:val="clear" w:color="auto" w:fill="auto"/>
            <w:noWrap/>
            <w:vAlign w:val="center"/>
            <w:hideMark/>
          </w:tcPr>
          <w:p w14:paraId="62479D79" w14:textId="1A842C24" w:rsidR="003F5771" w:rsidRPr="003F5771" w:rsidRDefault="003F5771" w:rsidP="003F5771">
            <w:pPr>
              <w:spacing w:line="240" w:lineRule="auto"/>
              <w:jc w:val="both"/>
              <w:rPr>
                <w:rFonts w:cstheme="minorHAnsi"/>
                <w:sz w:val="18"/>
                <w:szCs w:val="18"/>
              </w:rPr>
            </w:pPr>
            <w:r w:rsidRPr="003F5771">
              <w:rPr>
                <w:sz w:val="18"/>
                <w:szCs w:val="18"/>
              </w:rPr>
              <w:t>13,342</w:t>
            </w:r>
          </w:p>
        </w:tc>
      </w:tr>
      <w:tr w:rsidR="003F5771" w:rsidRPr="00374C95" w14:paraId="742D909F" w14:textId="77777777" w:rsidTr="003F5771">
        <w:trPr>
          <w:trHeight w:val="300"/>
        </w:trPr>
        <w:tc>
          <w:tcPr>
            <w:tcW w:w="885" w:type="pct"/>
            <w:shd w:val="clear" w:color="auto" w:fill="auto"/>
            <w:noWrap/>
            <w:vAlign w:val="center"/>
          </w:tcPr>
          <w:p w14:paraId="48C5EA83" w14:textId="5C282A81" w:rsidR="003F5771" w:rsidRPr="003F5771" w:rsidRDefault="003F5771" w:rsidP="003F5771">
            <w:pPr>
              <w:spacing w:line="240" w:lineRule="auto"/>
              <w:jc w:val="both"/>
              <w:rPr>
                <w:sz w:val="18"/>
                <w:szCs w:val="18"/>
              </w:rPr>
            </w:pPr>
            <w:r w:rsidRPr="003F5771">
              <w:rPr>
                <w:sz w:val="18"/>
                <w:szCs w:val="18"/>
              </w:rPr>
              <w:t>% change 2011-end of Plan period</w:t>
            </w:r>
          </w:p>
        </w:tc>
        <w:tc>
          <w:tcPr>
            <w:tcW w:w="823" w:type="pct"/>
            <w:shd w:val="clear" w:color="auto" w:fill="auto"/>
            <w:noWrap/>
            <w:vAlign w:val="center"/>
          </w:tcPr>
          <w:p w14:paraId="6BC27196" w14:textId="1795FFC7" w:rsidR="003F5771" w:rsidRPr="003F5771" w:rsidRDefault="003F5771" w:rsidP="003F5771">
            <w:pPr>
              <w:spacing w:line="240" w:lineRule="auto"/>
              <w:jc w:val="both"/>
              <w:rPr>
                <w:sz w:val="18"/>
                <w:szCs w:val="18"/>
              </w:rPr>
            </w:pPr>
            <w:r w:rsidRPr="003F5771">
              <w:rPr>
                <w:sz w:val="18"/>
                <w:szCs w:val="18"/>
              </w:rPr>
              <w:t>-35%</w:t>
            </w:r>
          </w:p>
        </w:tc>
        <w:tc>
          <w:tcPr>
            <w:tcW w:w="823" w:type="pct"/>
            <w:shd w:val="clear" w:color="auto" w:fill="auto"/>
            <w:noWrap/>
            <w:vAlign w:val="center"/>
          </w:tcPr>
          <w:p w14:paraId="1D8C8B12" w14:textId="4E3D29E6" w:rsidR="003F5771" w:rsidRPr="003F5771" w:rsidRDefault="003F5771" w:rsidP="003F5771">
            <w:pPr>
              <w:spacing w:line="240" w:lineRule="auto"/>
              <w:jc w:val="both"/>
              <w:rPr>
                <w:sz w:val="18"/>
                <w:szCs w:val="18"/>
              </w:rPr>
            </w:pPr>
            <w:r w:rsidRPr="003F5771">
              <w:rPr>
                <w:sz w:val="18"/>
                <w:szCs w:val="18"/>
              </w:rPr>
              <w:t>-9%</w:t>
            </w:r>
          </w:p>
        </w:tc>
        <w:tc>
          <w:tcPr>
            <w:tcW w:w="823" w:type="pct"/>
            <w:shd w:val="clear" w:color="auto" w:fill="auto"/>
            <w:noWrap/>
            <w:vAlign w:val="center"/>
          </w:tcPr>
          <w:p w14:paraId="33BFE384" w14:textId="2F2380C7" w:rsidR="003F5771" w:rsidRPr="003F5771" w:rsidRDefault="003F5771" w:rsidP="003F5771">
            <w:pPr>
              <w:spacing w:line="240" w:lineRule="auto"/>
              <w:jc w:val="both"/>
              <w:rPr>
                <w:sz w:val="18"/>
                <w:szCs w:val="18"/>
              </w:rPr>
            </w:pPr>
            <w:r w:rsidRPr="003F5771">
              <w:rPr>
                <w:sz w:val="18"/>
                <w:szCs w:val="18"/>
              </w:rPr>
              <w:t>-16%</w:t>
            </w:r>
          </w:p>
        </w:tc>
        <w:tc>
          <w:tcPr>
            <w:tcW w:w="823" w:type="pct"/>
            <w:shd w:val="clear" w:color="auto" w:fill="auto"/>
            <w:noWrap/>
            <w:vAlign w:val="center"/>
          </w:tcPr>
          <w:p w14:paraId="63881EB6" w14:textId="03E7CF27" w:rsidR="003F5771" w:rsidRPr="003F5771" w:rsidRDefault="003F5771" w:rsidP="003F5771">
            <w:pPr>
              <w:spacing w:line="240" w:lineRule="auto"/>
              <w:jc w:val="both"/>
              <w:rPr>
                <w:sz w:val="18"/>
                <w:szCs w:val="18"/>
              </w:rPr>
            </w:pPr>
            <w:r w:rsidRPr="003F5771">
              <w:rPr>
                <w:sz w:val="18"/>
                <w:szCs w:val="18"/>
              </w:rPr>
              <w:t>7%</w:t>
            </w:r>
          </w:p>
        </w:tc>
        <w:tc>
          <w:tcPr>
            <w:tcW w:w="823" w:type="pct"/>
            <w:shd w:val="clear" w:color="auto" w:fill="auto"/>
            <w:noWrap/>
            <w:vAlign w:val="center"/>
          </w:tcPr>
          <w:p w14:paraId="780F0B33" w14:textId="58331570" w:rsidR="003F5771" w:rsidRPr="003F5771" w:rsidRDefault="003F5771" w:rsidP="003F5771">
            <w:pPr>
              <w:spacing w:line="240" w:lineRule="auto"/>
              <w:jc w:val="both"/>
              <w:rPr>
                <w:sz w:val="18"/>
                <w:szCs w:val="18"/>
              </w:rPr>
            </w:pPr>
            <w:r w:rsidRPr="003F5771">
              <w:rPr>
                <w:sz w:val="18"/>
                <w:szCs w:val="18"/>
              </w:rPr>
              <w:t>77%</w:t>
            </w:r>
          </w:p>
        </w:tc>
      </w:tr>
    </w:tbl>
    <w:p w14:paraId="3DEE13F5" w14:textId="77777777" w:rsidR="002C2D5C" w:rsidRPr="00374C95" w:rsidRDefault="002C2D5C" w:rsidP="002C2D5C">
      <w:pPr>
        <w:pStyle w:val="Source"/>
        <w:jc w:val="both"/>
        <w:rPr>
          <w:sz w:val="18"/>
          <w:szCs w:val="18"/>
          <w:lang w:val="en-GB"/>
        </w:rPr>
      </w:pPr>
      <w:r w:rsidRPr="00374C95">
        <w:rPr>
          <w:sz w:val="18"/>
          <w:szCs w:val="18"/>
          <w:lang w:val="en-GB"/>
        </w:rPr>
        <w:t>Source: AECOM Calculations</w:t>
      </w:r>
    </w:p>
    <w:p w14:paraId="46112820" w14:textId="40F3E1B2" w:rsidR="008D4A14" w:rsidRDefault="008D4A14" w:rsidP="00A82210">
      <w:pPr>
        <w:pStyle w:val="ListNumber"/>
      </w:pPr>
      <w:r>
        <w:t xml:space="preserve">This shows that </w:t>
      </w:r>
      <w:r w:rsidR="0015269D">
        <w:t xml:space="preserve">by the end of the plan period, </w:t>
      </w:r>
      <w:r>
        <w:t xml:space="preserve">the proportion of young households under the age of 54 </w:t>
      </w:r>
      <w:r w:rsidR="0015269D">
        <w:t xml:space="preserve">is projected </w:t>
      </w:r>
      <w:r>
        <w:t>to decline significantly, with th</w:t>
      </w:r>
      <w:r w:rsidR="0015269D">
        <w:t xml:space="preserve">e proportion of those households </w:t>
      </w:r>
      <w:r>
        <w:t>with a</w:t>
      </w:r>
      <w:r w:rsidR="0015269D">
        <w:t>n</w:t>
      </w:r>
      <w:r>
        <w:t xml:space="preserve"> HRP under the age of 24 projected to decline most (by 35%). At the same time households with a</w:t>
      </w:r>
      <w:r w:rsidR="00F05364">
        <w:t>n</w:t>
      </w:r>
      <w:r>
        <w:t xml:space="preserve"> HRP of 55 or older are projected to grow extensively, with the largest increase </w:t>
      </w:r>
      <w:r w:rsidR="00F05364">
        <w:t xml:space="preserve">expected </w:t>
      </w:r>
      <w:r>
        <w:t>in those over retirement age, who are projected to grow by a very significant 77%.</w:t>
      </w:r>
    </w:p>
    <w:p w14:paraId="1DC5AFD2" w14:textId="6906CE2A" w:rsidR="002C2D5C" w:rsidRDefault="006958B1" w:rsidP="00A82210">
      <w:pPr>
        <w:pStyle w:val="ListNumber"/>
      </w:pPr>
      <w:r>
        <w:t>Finally, having established</w:t>
      </w:r>
      <w:r w:rsidR="002C2D5C" w:rsidRPr="006958B1">
        <w:t xml:space="preserve"> the </w:t>
      </w:r>
      <w:r w:rsidR="00430AD8">
        <w:t>likelihood</w:t>
      </w:r>
      <w:r w:rsidR="00430AD8" w:rsidRPr="006958B1">
        <w:t xml:space="preserve"> </w:t>
      </w:r>
      <w:r w:rsidR="002C2D5C" w:rsidRPr="006958B1">
        <w:t xml:space="preserve">shown by households at different life-stages towards </w:t>
      </w:r>
      <w:r w:rsidR="00F05364">
        <w:t xml:space="preserve">occupying </w:t>
      </w:r>
      <w:r w:rsidR="002C2D5C" w:rsidRPr="006958B1">
        <w:t>dwellings of different sizes</w:t>
      </w:r>
      <w:r w:rsidR="00616B01">
        <w:t xml:space="preserve"> in </w:t>
      </w:r>
      <w:r w:rsidR="00616B01">
        <w:fldChar w:fldCharType="begin"/>
      </w:r>
      <w:r w:rsidR="00616B01">
        <w:instrText xml:space="preserve"> REF _Ref5974730 \h </w:instrText>
      </w:r>
      <w:r w:rsidR="00616B01">
        <w:fldChar w:fldCharType="separate"/>
      </w:r>
      <w:r w:rsidR="00A73A45">
        <w:t>Table</w:t>
      </w:r>
      <w:r w:rsidR="00A73A45" w:rsidRPr="002D4F56">
        <w:t xml:space="preserve"> </w:t>
      </w:r>
      <w:r w:rsidR="00A73A45">
        <w:rPr>
          <w:noProof/>
        </w:rPr>
        <w:t>5</w:t>
      </w:r>
      <w:r w:rsidR="00A73A45">
        <w:noBreakHyphen/>
      </w:r>
      <w:r w:rsidR="00A73A45">
        <w:rPr>
          <w:noProof/>
        </w:rPr>
        <w:t>9</w:t>
      </w:r>
      <w:r w:rsidR="00616B01">
        <w:fldChar w:fldCharType="end"/>
      </w:r>
      <w:r w:rsidR="002C2D5C" w:rsidRPr="006958B1">
        <w:t xml:space="preserve">, and the approximate number of households in </w:t>
      </w:r>
      <w:r w:rsidR="008D4A14">
        <w:t>Dorset</w:t>
      </w:r>
      <w:r w:rsidR="002C2D5C" w:rsidRPr="006958B1">
        <w:t xml:space="preserve"> and </w:t>
      </w:r>
      <w:r w:rsidR="0015105E">
        <w:t>Weymouth</w:t>
      </w:r>
      <w:r w:rsidR="002C2D5C" w:rsidRPr="006958B1">
        <w:t xml:space="preserve"> falling into each of </w:t>
      </w:r>
      <w:r w:rsidR="00F16F43">
        <w:t>these stages by the end of the P</w:t>
      </w:r>
      <w:r w:rsidR="002C2D5C" w:rsidRPr="006958B1">
        <w:t xml:space="preserve">lan period in </w:t>
      </w:r>
      <w:r w:rsidR="008D4A14">
        <w:t>2038</w:t>
      </w:r>
      <w:r>
        <w:t xml:space="preserve">, it is possible to </w:t>
      </w:r>
      <w:r w:rsidR="00430AD8">
        <w:t xml:space="preserve">estimate </w:t>
      </w:r>
      <w:r w:rsidR="00B44814">
        <w:t xml:space="preserve">how the housing stock </w:t>
      </w:r>
      <w:r w:rsidR="00430AD8">
        <w:t>might</w:t>
      </w:r>
      <w:r w:rsidR="00430AD8" w:rsidRPr="006958B1">
        <w:t xml:space="preserve"> </w:t>
      </w:r>
      <w:r w:rsidR="002C2D5C" w:rsidRPr="006958B1">
        <w:t xml:space="preserve">evolve in terms of size over the </w:t>
      </w:r>
      <w:r>
        <w:t xml:space="preserve">Neighbourhood Plan period </w:t>
      </w:r>
      <w:r w:rsidR="00430AD8">
        <w:t>in response to demographic change</w:t>
      </w:r>
      <w:r w:rsidR="002C2D5C" w:rsidRPr="006958B1">
        <w:t xml:space="preserve"> (see </w:t>
      </w:r>
      <w:r w:rsidR="002C2D5C" w:rsidRPr="006958B1">
        <w:fldChar w:fldCharType="begin"/>
      </w:r>
      <w:r w:rsidR="002C2D5C" w:rsidRPr="006958B1">
        <w:instrText xml:space="preserve"> REF _Ref2613011 \h  \* MERGEFORMAT </w:instrText>
      </w:r>
      <w:r w:rsidR="002C2D5C" w:rsidRPr="006958B1">
        <w:fldChar w:fldCharType="separate"/>
      </w:r>
      <w:r w:rsidR="00603781" w:rsidRPr="002D4F56">
        <w:t xml:space="preserve">Table </w:t>
      </w:r>
      <w:r w:rsidR="00603781">
        <w:rPr>
          <w:noProof/>
        </w:rPr>
        <w:t>5</w:t>
      </w:r>
      <w:r w:rsidR="00603781">
        <w:rPr>
          <w:noProof/>
        </w:rPr>
        <w:noBreakHyphen/>
        <w:t>12</w:t>
      </w:r>
      <w:r w:rsidR="002C2D5C" w:rsidRPr="006958B1">
        <w:fldChar w:fldCharType="end"/>
      </w:r>
      <w:r w:rsidR="002C2D5C" w:rsidRPr="006958B1">
        <w:t xml:space="preserve"> below). </w:t>
      </w:r>
    </w:p>
    <w:p w14:paraId="03FA5D8C" w14:textId="319E4AF5" w:rsidR="006623C9" w:rsidRPr="006958B1" w:rsidRDefault="006623C9" w:rsidP="00A82210">
      <w:pPr>
        <w:pStyle w:val="ListNumber"/>
      </w:pPr>
      <w:bookmarkStart w:id="171" w:name="_Hlk14695299"/>
      <w:r>
        <w:t xml:space="preserve">The table </w:t>
      </w:r>
      <w:r w:rsidRPr="006623C9">
        <w:t xml:space="preserve">takes in turn each projected age group in </w:t>
      </w:r>
      <w:r w:rsidR="008D4A14">
        <w:t>2038</w:t>
      </w:r>
      <w:r w:rsidRPr="006623C9">
        <w:t xml:space="preserve">, estimating how many of the households in that age bracket will want or need to occupy each size of dwelling. </w:t>
      </w:r>
      <w:r w:rsidR="00430AD8">
        <w:t>This is repeated for</w:t>
      </w:r>
      <w:r w:rsidRPr="006623C9">
        <w:t xml:space="preserve"> each age bracket and add</w:t>
      </w:r>
      <w:r w:rsidR="00430AD8">
        <w:t>ed</w:t>
      </w:r>
      <w:r w:rsidRPr="006623C9">
        <w:t xml:space="preserve"> together </w:t>
      </w:r>
      <w:r w:rsidR="00430AD8">
        <w:t>to</w:t>
      </w:r>
      <w:r w:rsidRPr="006623C9">
        <w:t xml:space="preserve"> arrive at an estimation of </w:t>
      </w:r>
      <w:r>
        <w:t xml:space="preserve">what proportion </w:t>
      </w:r>
      <w:r w:rsidRPr="006623C9">
        <w:t xml:space="preserve">of each size </w:t>
      </w:r>
      <w:r>
        <w:t xml:space="preserve">of dwelling </w:t>
      </w:r>
      <w:r w:rsidRPr="006623C9">
        <w:t>will be required</w:t>
      </w:r>
      <w:r>
        <w:t xml:space="preserve"> overall</w:t>
      </w:r>
      <w:r w:rsidRPr="006623C9">
        <w:t>.</w:t>
      </w:r>
      <w:r>
        <w:t xml:space="preserve"> </w:t>
      </w:r>
    </w:p>
    <w:p w14:paraId="43F6D432" w14:textId="70EA311B" w:rsidR="002C2D5C" w:rsidRPr="002D4F56" w:rsidRDefault="002C2D5C" w:rsidP="002C2D5C">
      <w:pPr>
        <w:pStyle w:val="Caption"/>
        <w:jc w:val="both"/>
        <w:rPr>
          <w:sz w:val="18"/>
          <w:szCs w:val="18"/>
        </w:rPr>
      </w:pPr>
      <w:bookmarkStart w:id="172" w:name="_Ref2613011"/>
      <w:bookmarkEnd w:id="171"/>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12</w:t>
      </w:r>
      <w:r w:rsidR="00BA4C32">
        <w:rPr>
          <w:sz w:val="18"/>
          <w:szCs w:val="18"/>
        </w:rPr>
        <w:fldChar w:fldCharType="end"/>
      </w:r>
      <w:bookmarkEnd w:id="172"/>
      <w:r w:rsidRPr="002D4F56">
        <w:rPr>
          <w:sz w:val="18"/>
          <w:szCs w:val="18"/>
        </w:rPr>
        <w:t xml:space="preserve">: </w:t>
      </w:r>
      <w:r w:rsidR="00947C8A">
        <w:rPr>
          <w:sz w:val="18"/>
          <w:szCs w:val="18"/>
        </w:rPr>
        <w:t>Ideal</w:t>
      </w:r>
      <w:r w:rsidR="00430AD8" w:rsidRPr="002D4F56">
        <w:rPr>
          <w:sz w:val="18"/>
          <w:szCs w:val="18"/>
        </w:rPr>
        <w:t xml:space="preserve"> </w:t>
      </w:r>
      <w:r w:rsidR="00AC0E8A" w:rsidRPr="002D4F56">
        <w:rPr>
          <w:sz w:val="18"/>
          <w:szCs w:val="18"/>
        </w:rPr>
        <w:t xml:space="preserve">dwelling </w:t>
      </w:r>
      <w:r w:rsidRPr="002D4F56">
        <w:rPr>
          <w:sz w:val="18"/>
          <w:szCs w:val="18"/>
        </w:rPr>
        <w:t xml:space="preserve">size distribution in </w:t>
      </w:r>
      <w:r w:rsidR="0015105E">
        <w:rPr>
          <w:sz w:val="18"/>
          <w:szCs w:val="18"/>
        </w:rPr>
        <w:t>Weymouth</w:t>
      </w:r>
      <w:r w:rsidR="00AC0E8A" w:rsidRPr="002D4F56">
        <w:rPr>
          <w:sz w:val="18"/>
          <w:szCs w:val="18"/>
        </w:rPr>
        <w:t xml:space="preserve"> by</w:t>
      </w:r>
      <w:r w:rsidR="00F16F43">
        <w:rPr>
          <w:sz w:val="18"/>
          <w:szCs w:val="18"/>
        </w:rPr>
        <w:t xml:space="preserve"> the end of the P</w:t>
      </w:r>
      <w:r w:rsidRPr="002D4F56">
        <w:rPr>
          <w:sz w:val="18"/>
          <w:szCs w:val="18"/>
        </w:rPr>
        <w:t>lan period</w:t>
      </w:r>
      <w:r w:rsidR="002D4F56">
        <w:rPr>
          <w:sz w:val="18"/>
          <w:szCs w:val="18"/>
        </w:rPr>
        <w:t>,</w:t>
      </w:r>
      <w:r w:rsidR="00AC0E8A" w:rsidRPr="002D4F56">
        <w:rPr>
          <w:sz w:val="18"/>
          <w:szCs w:val="18"/>
        </w:rPr>
        <w:t xml:space="preserve"> based on</w:t>
      </w:r>
      <w:r w:rsidRPr="002D4F56">
        <w:rPr>
          <w:sz w:val="18"/>
          <w:szCs w:val="18"/>
        </w:rPr>
        <w:t xml:space="preserve"> </w:t>
      </w:r>
      <w:r w:rsidR="00AC0E8A" w:rsidRPr="002D4F56">
        <w:rPr>
          <w:sz w:val="18"/>
          <w:szCs w:val="18"/>
        </w:rPr>
        <w:t xml:space="preserve">modelled </w:t>
      </w:r>
      <w:r w:rsidRPr="002D4F56">
        <w:rPr>
          <w:sz w:val="18"/>
          <w:szCs w:val="18"/>
        </w:rPr>
        <w:t>household life-stages</w:t>
      </w:r>
      <w:r w:rsidR="006623C9">
        <w:rPr>
          <w:sz w:val="18"/>
          <w:szCs w:val="18"/>
        </w:rPr>
        <w:t xml:space="preserve"> (totals may not sum due to rounding)</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1341"/>
        <w:gridCol w:w="1341"/>
        <w:gridCol w:w="1345"/>
        <w:gridCol w:w="1341"/>
        <w:gridCol w:w="1341"/>
        <w:gridCol w:w="1342"/>
      </w:tblGrid>
      <w:tr w:rsidR="002C2D5C" w:rsidRPr="00374C95" w14:paraId="6B811AC6" w14:textId="77777777" w:rsidTr="00C378B2">
        <w:trPr>
          <w:trHeight w:val="288"/>
        </w:trPr>
        <w:tc>
          <w:tcPr>
            <w:tcW w:w="723" w:type="pct"/>
            <w:shd w:val="clear" w:color="auto" w:fill="000000" w:themeFill="text1"/>
            <w:noWrap/>
            <w:vAlign w:val="center"/>
          </w:tcPr>
          <w:p w14:paraId="6F3751E3" w14:textId="77777777" w:rsidR="002C2D5C" w:rsidRPr="008D4A14" w:rsidRDefault="002C2D5C" w:rsidP="00C378B2">
            <w:pPr>
              <w:spacing w:line="240" w:lineRule="auto"/>
              <w:jc w:val="both"/>
              <w:rPr>
                <w:rFonts w:cstheme="minorHAnsi"/>
                <w:b/>
                <w:color w:val="FFFFFF" w:themeColor="background1"/>
                <w:sz w:val="18"/>
                <w:szCs w:val="18"/>
              </w:rPr>
            </w:pPr>
            <w:r w:rsidRPr="008D4A14">
              <w:rPr>
                <w:rFonts w:cstheme="minorHAnsi"/>
                <w:b/>
                <w:color w:val="FFFFFF" w:themeColor="background1"/>
                <w:sz w:val="18"/>
                <w:szCs w:val="18"/>
              </w:rPr>
              <w:t>Size</w:t>
            </w:r>
          </w:p>
        </w:tc>
        <w:tc>
          <w:tcPr>
            <w:tcW w:w="712" w:type="pct"/>
            <w:shd w:val="clear" w:color="auto" w:fill="000000" w:themeFill="text1"/>
            <w:noWrap/>
            <w:vAlign w:val="center"/>
          </w:tcPr>
          <w:p w14:paraId="384D557F" w14:textId="77777777" w:rsidR="002C2D5C" w:rsidRPr="008D4A14" w:rsidRDefault="002C2D5C" w:rsidP="00C378B2">
            <w:pPr>
              <w:spacing w:line="240" w:lineRule="auto"/>
              <w:jc w:val="both"/>
              <w:rPr>
                <w:rFonts w:cstheme="minorHAnsi"/>
                <w:b/>
                <w:color w:val="FFFFFF" w:themeColor="background1"/>
                <w:sz w:val="18"/>
                <w:szCs w:val="18"/>
              </w:rPr>
            </w:pPr>
            <w:r w:rsidRPr="008D4A14">
              <w:rPr>
                <w:b/>
                <w:color w:val="FFFFFF" w:themeColor="background1"/>
                <w:sz w:val="18"/>
                <w:szCs w:val="18"/>
              </w:rPr>
              <w:t>Age of HRP 16 to 24</w:t>
            </w:r>
          </w:p>
        </w:tc>
        <w:tc>
          <w:tcPr>
            <w:tcW w:w="712" w:type="pct"/>
            <w:shd w:val="clear" w:color="auto" w:fill="000000" w:themeFill="text1"/>
            <w:noWrap/>
            <w:vAlign w:val="center"/>
          </w:tcPr>
          <w:p w14:paraId="09D5AF7F" w14:textId="77777777" w:rsidR="002C2D5C" w:rsidRPr="008D4A14" w:rsidRDefault="002C2D5C" w:rsidP="00C378B2">
            <w:pPr>
              <w:spacing w:line="240" w:lineRule="auto"/>
              <w:jc w:val="both"/>
              <w:rPr>
                <w:rFonts w:cstheme="minorHAnsi"/>
                <w:b/>
                <w:color w:val="FFFFFF" w:themeColor="background1"/>
                <w:sz w:val="18"/>
                <w:szCs w:val="18"/>
              </w:rPr>
            </w:pPr>
            <w:r w:rsidRPr="008D4A14">
              <w:rPr>
                <w:b/>
                <w:color w:val="FFFFFF" w:themeColor="background1"/>
                <w:sz w:val="18"/>
                <w:szCs w:val="18"/>
              </w:rPr>
              <w:t>Age of HRP under 35</w:t>
            </w:r>
          </w:p>
        </w:tc>
        <w:tc>
          <w:tcPr>
            <w:tcW w:w="714" w:type="pct"/>
            <w:shd w:val="clear" w:color="auto" w:fill="000000" w:themeFill="text1"/>
            <w:noWrap/>
            <w:vAlign w:val="center"/>
          </w:tcPr>
          <w:p w14:paraId="65BA641D" w14:textId="77777777" w:rsidR="002C2D5C" w:rsidRPr="008D4A14" w:rsidRDefault="002C2D5C" w:rsidP="00C378B2">
            <w:pPr>
              <w:spacing w:line="240" w:lineRule="auto"/>
              <w:jc w:val="both"/>
              <w:rPr>
                <w:rFonts w:cstheme="minorHAnsi"/>
                <w:b/>
                <w:color w:val="FFFFFF" w:themeColor="background1"/>
                <w:sz w:val="18"/>
                <w:szCs w:val="18"/>
              </w:rPr>
            </w:pPr>
            <w:r w:rsidRPr="008D4A14">
              <w:rPr>
                <w:b/>
                <w:color w:val="FFFFFF" w:themeColor="background1"/>
                <w:sz w:val="18"/>
                <w:szCs w:val="18"/>
              </w:rPr>
              <w:t>Age of HRP 35 to 54</w:t>
            </w:r>
          </w:p>
        </w:tc>
        <w:tc>
          <w:tcPr>
            <w:tcW w:w="712" w:type="pct"/>
            <w:shd w:val="clear" w:color="auto" w:fill="000000" w:themeFill="text1"/>
            <w:noWrap/>
            <w:vAlign w:val="center"/>
          </w:tcPr>
          <w:p w14:paraId="3A9FA997" w14:textId="77777777" w:rsidR="002C2D5C" w:rsidRPr="008D4A14" w:rsidRDefault="002C2D5C" w:rsidP="00C378B2">
            <w:pPr>
              <w:spacing w:line="240" w:lineRule="auto"/>
              <w:jc w:val="both"/>
              <w:rPr>
                <w:rFonts w:cstheme="minorHAnsi"/>
                <w:b/>
                <w:color w:val="FFFFFF" w:themeColor="background1"/>
                <w:sz w:val="18"/>
                <w:szCs w:val="18"/>
              </w:rPr>
            </w:pPr>
            <w:r w:rsidRPr="008D4A14">
              <w:rPr>
                <w:b/>
                <w:color w:val="FFFFFF" w:themeColor="background1"/>
                <w:sz w:val="18"/>
                <w:szCs w:val="18"/>
              </w:rPr>
              <w:t>Age of HRP 55 to 64</w:t>
            </w:r>
          </w:p>
        </w:tc>
        <w:tc>
          <w:tcPr>
            <w:tcW w:w="712" w:type="pct"/>
            <w:shd w:val="clear" w:color="auto" w:fill="000000" w:themeFill="text1"/>
            <w:noWrap/>
            <w:vAlign w:val="center"/>
          </w:tcPr>
          <w:p w14:paraId="1A39E5C4" w14:textId="77777777" w:rsidR="002C2D5C" w:rsidRPr="008D4A14" w:rsidRDefault="002C2D5C" w:rsidP="00C378B2">
            <w:pPr>
              <w:spacing w:line="240" w:lineRule="auto"/>
              <w:jc w:val="both"/>
              <w:rPr>
                <w:rFonts w:cstheme="minorHAnsi"/>
                <w:b/>
                <w:color w:val="FFFFFF" w:themeColor="background1"/>
                <w:sz w:val="18"/>
                <w:szCs w:val="18"/>
              </w:rPr>
            </w:pPr>
            <w:r w:rsidRPr="008D4A14">
              <w:rPr>
                <w:b/>
                <w:color w:val="FFFFFF" w:themeColor="background1"/>
                <w:sz w:val="18"/>
                <w:szCs w:val="18"/>
              </w:rPr>
              <w:t>Age of HRP 65 and over</w:t>
            </w:r>
          </w:p>
        </w:tc>
        <w:tc>
          <w:tcPr>
            <w:tcW w:w="713" w:type="pct"/>
            <w:shd w:val="clear" w:color="auto" w:fill="000000" w:themeFill="text1"/>
            <w:noWrap/>
            <w:vAlign w:val="center"/>
          </w:tcPr>
          <w:p w14:paraId="3A3056DC" w14:textId="7F8C5D6A" w:rsidR="002C2D5C" w:rsidRPr="008D4A14" w:rsidRDefault="002C2D5C" w:rsidP="00C378B2">
            <w:pPr>
              <w:spacing w:line="240" w:lineRule="auto"/>
              <w:jc w:val="both"/>
              <w:rPr>
                <w:rFonts w:cstheme="minorHAnsi"/>
                <w:b/>
                <w:color w:val="FFFFFF" w:themeColor="background1"/>
                <w:sz w:val="18"/>
                <w:szCs w:val="18"/>
              </w:rPr>
            </w:pPr>
            <w:r w:rsidRPr="008D4A14">
              <w:rPr>
                <w:b/>
                <w:color w:val="FFFFFF" w:themeColor="background1"/>
                <w:sz w:val="18"/>
                <w:szCs w:val="18"/>
              </w:rPr>
              <w:t>Total households requiring dwelling sizes</w:t>
            </w:r>
          </w:p>
        </w:tc>
      </w:tr>
      <w:tr w:rsidR="008D4A14" w:rsidRPr="00374C95" w14:paraId="7FBCCA5D" w14:textId="77777777" w:rsidTr="00FA1B07">
        <w:trPr>
          <w:trHeight w:val="288"/>
        </w:trPr>
        <w:tc>
          <w:tcPr>
            <w:tcW w:w="723" w:type="pct"/>
            <w:shd w:val="clear" w:color="auto" w:fill="auto"/>
            <w:noWrap/>
            <w:hideMark/>
          </w:tcPr>
          <w:p w14:paraId="52ED0A80" w14:textId="217FEC4E" w:rsidR="008D4A14" w:rsidRPr="008D4A14" w:rsidRDefault="008D4A14" w:rsidP="008D4A14">
            <w:pPr>
              <w:spacing w:line="240" w:lineRule="auto"/>
              <w:jc w:val="both"/>
              <w:rPr>
                <w:rFonts w:cstheme="minorHAnsi"/>
                <w:sz w:val="18"/>
                <w:szCs w:val="18"/>
              </w:rPr>
            </w:pPr>
            <w:r w:rsidRPr="008D4A14">
              <w:rPr>
                <w:sz w:val="18"/>
                <w:szCs w:val="18"/>
              </w:rPr>
              <w:t>Households 2038</w:t>
            </w:r>
          </w:p>
        </w:tc>
        <w:tc>
          <w:tcPr>
            <w:tcW w:w="712" w:type="pct"/>
            <w:shd w:val="clear" w:color="auto" w:fill="auto"/>
            <w:noWrap/>
            <w:vAlign w:val="center"/>
            <w:hideMark/>
          </w:tcPr>
          <w:p w14:paraId="6AB8B1FB" w14:textId="1E751D8A" w:rsidR="008D4A14" w:rsidRPr="008D4A14" w:rsidRDefault="008D4A14" w:rsidP="008D4A14">
            <w:pPr>
              <w:spacing w:line="240" w:lineRule="auto"/>
              <w:jc w:val="both"/>
              <w:rPr>
                <w:rFonts w:cstheme="minorHAnsi"/>
                <w:sz w:val="18"/>
                <w:szCs w:val="18"/>
              </w:rPr>
            </w:pPr>
            <w:r w:rsidRPr="008D4A14">
              <w:rPr>
                <w:sz w:val="18"/>
                <w:szCs w:val="18"/>
              </w:rPr>
              <w:t>462</w:t>
            </w:r>
          </w:p>
        </w:tc>
        <w:tc>
          <w:tcPr>
            <w:tcW w:w="712" w:type="pct"/>
            <w:shd w:val="clear" w:color="auto" w:fill="auto"/>
            <w:noWrap/>
            <w:vAlign w:val="center"/>
            <w:hideMark/>
          </w:tcPr>
          <w:p w14:paraId="4A90D016" w14:textId="710F516C" w:rsidR="008D4A14" w:rsidRPr="008D4A14" w:rsidRDefault="008D4A14" w:rsidP="008D4A14">
            <w:pPr>
              <w:spacing w:line="240" w:lineRule="auto"/>
              <w:jc w:val="both"/>
              <w:rPr>
                <w:rFonts w:cstheme="minorHAnsi"/>
                <w:sz w:val="18"/>
                <w:szCs w:val="18"/>
              </w:rPr>
            </w:pPr>
            <w:r w:rsidRPr="008D4A14">
              <w:rPr>
                <w:sz w:val="18"/>
                <w:szCs w:val="18"/>
              </w:rPr>
              <w:t>2,222</w:t>
            </w:r>
          </w:p>
        </w:tc>
        <w:tc>
          <w:tcPr>
            <w:tcW w:w="714" w:type="pct"/>
            <w:shd w:val="clear" w:color="auto" w:fill="auto"/>
            <w:noWrap/>
            <w:vAlign w:val="center"/>
            <w:hideMark/>
          </w:tcPr>
          <w:p w14:paraId="308BB708" w14:textId="4C6E4778" w:rsidR="008D4A14" w:rsidRPr="008D4A14" w:rsidRDefault="008D4A14" w:rsidP="008D4A14">
            <w:pPr>
              <w:spacing w:line="240" w:lineRule="auto"/>
              <w:jc w:val="both"/>
              <w:rPr>
                <w:rFonts w:cstheme="minorHAnsi"/>
                <w:sz w:val="18"/>
                <w:szCs w:val="18"/>
              </w:rPr>
            </w:pPr>
            <w:r w:rsidRPr="008D4A14">
              <w:rPr>
                <w:sz w:val="18"/>
                <w:szCs w:val="18"/>
              </w:rPr>
              <w:t>6,921</w:t>
            </w:r>
          </w:p>
        </w:tc>
        <w:tc>
          <w:tcPr>
            <w:tcW w:w="712" w:type="pct"/>
            <w:shd w:val="clear" w:color="auto" w:fill="auto"/>
            <w:noWrap/>
            <w:vAlign w:val="center"/>
            <w:hideMark/>
          </w:tcPr>
          <w:p w14:paraId="7AF97BFA" w14:textId="6F1D91ED" w:rsidR="008D4A14" w:rsidRPr="008D4A14" w:rsidRDefault="008D4A14" w:rsidP="008D4A14">
            <w:pPr>
              <w:spacing w:line="240" w:lineRule="auto"/>
              <w:jc w:val="both"/>
              <w:rPr>
                <w:rFonts w:cstheme="minorHAnsi"/>
                <w:sz w:val="18"/>
                <w:szCs w:val="18"/>
              </w:rPr>
            </w:pPr>
            <w:r w:rsidRPr="008D4A14">
              <w:rPr>
                <w:sz w:val="18"/>
                <w:szCs w:val="18"/>
              </w:rPr>
              <w:t>4,682</w:t>
            </w:r>
          </w:p>
        </w:tc>
        <w:tc>
          <w:tcPr>
            <w:tcW w:w="712" w:type="pct"/>
            <w:shd w:val="clear" w:color="auto" w:fill="auto"/>
            <w:noWrap/>
            <w:vAlign w:val="center"/>
            <w:hideMark/>
          </w:tcPr>
          <w:p w14:paraId="5016305D" w14:textId="6C611916" w:rsidR="008D4A14" w:rsidRPr="008D4A14" w:rsidRDefault="008D4A14" w:rsidP="008D4A14">
            <w:pPr>
              <w:spacing w:line="240" w:lineRule="auto"/>
              <w:jc w:val="both"/>
              <w:rPr>
                <w:rFonts w:cstheme="minorHAnsi"/>
                <w:sz w:val="18"/>
                <w:szCs w:val="18"/>
              </w:rPr>
            </w:pPr>
            <w:r w:rsidRPr="008D4A14">
              <w:rPr>
                <w:sz w:val="18"/>
                <w:szCs w:val="18"/>
              </w:rPr>
              <w:t>13,342</w:t>
            </w:r>
          </w:p>
        </w:tc>
        <w:tc>
          <w:tcPr>
            <w:tcW w:w="713" w:type="pct"/>
            <w:shd w:val="clear" w:color="auto" w:fill="auto"/>
            <w:noWrap/>
            <w:vAlign w:val="center"/>
            <w:hideMark/>
          </w:tcPr>
          <w:p w14:paraId="7E4A3413" w14:textId="46369829" w:rsidR="008D4A14" w:rsidRPr="008D4A14" w:rsidRDefault="008D4A14" w:rsidP="008D4A14">
            <w:pPr>
              <w:spacing w:line="240" w:lineRule="auto"/>
              <w:jc w:val="both"/>
              <w:rPr>
                <w:rFonts w:cstheme="minorHAnsi"/>
                <w:b/>
                <w:sz w:val="18"/>
                <w:szCs w:val="18"/>
              </w:rPr>
            </w:pPr>
            <w:r w:rsidRPr="008D4A14">
              <w:rPr>
                <w:b/>
                <w:bCs/>
                <w:sz w:val="18"/>
                <w:szCs w:val="18"/>
              </w:rPr>
              <w:t>27,630</w:t>
            </w:r>
          </w:p>
        </w:tc>
      </w:tr>
      <w:tr w:rsidR="008D4A14" w:rsidRPr="00374C95" w14:paraId="59FF1CC6" w14:textId="77777777" w:rsidTr="00FA1B07">
        <w:trPr>
          <w:trHeight w:val="288"/>
        </w:trPr>
        <w:tc>
          <w:tcPr>
            <w:tcW w:w="723" w:type="pct"/>
            <w:shd w:val="clear" w:color="auto" w:fill="auto"/>
            <w:noWrap/>
            <w:hideMark/>
          </w:tcPr>
          <w:p w14:paraId="08AC4F98" w14:textId="77777777" w:rsidR="008D4A14" w:rsidRPr="008D4A14" w:rsidRDefault="008D4A14" w:rsidP="008D4A14">
            <w:pPr>
              <w:spacing w:line="240" w:lineRule="auto"/>
              <w:jc w:val="both"/>
              <w:rPr>
                <w:rFonts w:cstheme="minorHAnsi"/>
                <w:sz w:val="18"/>
                <w:szCs w:val="18"/>
              </w:rPr>
            </w:pPr>
            <w:r w:rsidRPr="008D4A14">
              <w:rPr>
                <w:sz w:val="18"/>
                <w:szCs w:val="18"/>
              </w:rPr>
              <w:t>1 bedroom</w:t>
            </w:r>
          </w:p>
        </w:tc>
        <w:tc>
          <w:tcPr>
            <w:tcW w:w="712" w:type="pct"/>
            <w:shd w:val="clear" w:color="auto" w:fill="auto"/>
            <w:noWrap/>
            <w:vAlign w:val="center"/>
            <w:hideMark/>
          </w:tcPr>
          <w:p w14:paraId="55762CCB" w14:textId="19B33DA7" w:rsidR="008D4A14" w:rsidRPr="008D4A14" w:rsidRDefault="008D4A14" w:rsidP="008D4A14">
            <w:pPr>
              <w:spacing w:line="240" w:lineRule="auto"/>
              <w:jc w:val="both"/>
              <w:rPr>
                <w:rFonts w:cstheme="minorHAnsi"/>
                <w:sz w:val="18"/>
                <w:szCs w:val="18"/>
              </w:rPr>
            </w:pPr>
            <w:r w:rsidRPr="008D4A14">
              <w:rPr>
                <w:sz w:val="18"/>
                <w:szCs w:val="18"/>
              </w:rPr>
              <w:t>122</w:t>
            </w:r>
          </w:p>
        </w:tc>
        <w:tc>
          <w:tcPr>
            <w:tcW w:w="712" w:type="pct"/>
            <w:shd w:val="clear" w:color="auto" w:fill="auto"/>
            <w:noWrap/>
            <w:vAlign w:val="center"/>
            <w:hideMark/>
          </w:tcPr>
          <w:p w14:paraId="31A158E4" w14:textId="185D1AA4" w:rsidR="008D4A14" w:rsidRPr="008D4A14" w:rsidRDefault="008D4A14" w:rsidP="008D4A14">
            <w:pPr>
              <w:spacing w:line="240" w:lineRule="auto"/>
              <w:jc w:val="both"/>
              <w:rPr>
                <w:rFonts w:cstheme="minorHAnsi"/>
                <w:sz w:val="18"/>
                <w:szCs w:val="18"/>
              </w:rPr>
            </w:pPr>
            <w:r w:rsidRPr="008D4A14">
              <w:rPr>
                <w:sz w:val="18"/>
                <w:szCs w:val="18"/>
              </w:rPr>
              <w:t>369</w:t>
            </w:r>
          </w:p>
        </w:tc>
        <w:tc>
          <w:tcPr>
            <w:tcW w:w="714" w:type="pct"/>
            <w:shd w:val="clear" w:color="auto" w:fill="auto"/>
            <w:noWrap/>
            <w:vAlign w:val="center"/>
            <w:hideMark/>
          </w:tcPr>
          <w:p w14:paraId="15DBE0F2" w14:textId="426F4B45" w:rsidR="008D4A14" w:rsidRPr="008D4A14" w:rsidRDefault="008D4A14" w:rsidP="008D4A14">
            <w:pPr>
              <w:spacing w:line="240" w:lineRule="auto"/>
              <w:jc w:val="both"/>
              <w:rPr>
                <w:rFonts w:cstheme="minorHAnsi"/>
                <w:sz w:val="18"/>
                <w:szCs w:val="18"/>
              </w:rPr>
            </w:pPr>
            <w:r w:rsidRPr="008D4A14">
              <w:rPr>
                <w:sz w:val="18"/>
                <w:szCs w:val="18"/>
              </w:rPr>
              <w:t>689</w:t>
            </w:r>
          </w:p>
        </w:tc>
        <w:tc>
          <w:tcPr>
            <w:tcW w:w="712" w:type="pct"/>
            <w:shd w:val="clear" w:color="auto" w:fill="auto"/>
            <w:noWrap/>
            <w:vAlign w:val="center"/>
            <w:hideMark/>
          </w:tcPr>
          <w:p w14:paraId="2F516DA5" w14:textId="29E4E6D4" w:rsidR="008D4A14" w:rsidRPr="008D4A14" w:rsidRDefault="008D4A14" w:rsidP="008D4A14">
            <w:pPr>
              <w:spacing w:line="240" w:lineRule="auto"/>
              <w:jc w:val="both"/>
              <w:rPr>
                <w:rFonts w:cstheme="minorHAnsi"/>
                <w:sz w:val="18"/>
                <w:szCs w:val="18"/>
              </w:rPr>
            </w:pPr>
            <w:r w:rsidRPr="008D4A14">
              <w:rPr>
                <w:sz w:val="18"/>
                <w:szCs w:val="18"/>
              </w:rPr>
              <w:t>522</w:t>
            </w:r>
          </w:p>
        </w:tc>
        <w:tc>
          <w:tcPr>
            <w:tcW w:w="712" w:type="pct"/>
            <w:shd w:val="clear" w:color="auto" w:fill="auto"/>
            <w:noWrap/>
            <w:vAlign w:val="center"/>
            <w:hideMark/>
          </w:tcPr>
          <w:p w14:paraId="61E82297" w14:textId="153B4C4C" w:rsidR="008D4A14" w:rsidRPr="008D4A14" w:rsidRDefault="008D4A14" w:rsidP="008D4A14">
            <w:pPr>
              <w:spacing w:line="240" w:lineRule="auto"/>
              <w:jc w:val="both"/>
              <w:rPr>
                <w:rFonts w:cstheme="minorHAnsi"/>
                <w:sz w:val="18"/>
                <w:szCs w:val="18"/>
              </w:rPr>
            </w:pPr>
            <w:r w:rsidRPr="008D4A14">
              <w:rPr>
                <w:sz w:val="18"/>
                <w:szCs w:val="18"/>
              </w:rPr>
              <w:t>1,709</w:t>
            </w:r>
          </w:p>
        </w:tc>
        <w:tc>
          <w:tcPr>
            <w:tcW w:w="713" w:type="pct"/>
            <w:shd w:val="clear" w:color="auto" w:fill="auto"/>
            <w:noWrap/>
            <w:vAlign w:val="center"/>
            <w:hideMark/>
          </w:tcPr>
          <w:p w14:paraId="2183D7EB" w14:textId="2BF68F66" w:rsidR="008D4A14" w:rsidRPr="008D4A14" w:rsidRDefault="008D4A14" w:rsidP="008D4A14">
            <w:pPr>
              <w:spacing w:line="240" w:lineRule="auto"/>
              <w:jc w:val="both"/>
              <w:rPr>
                <w:rFonts w:cstheme="minorHAnsi"/>
                <w:b/>
                <w:sz w:val="18"/>
                <w:szCs w:val="18"/>
              </w:rPr>
            </w:pPr>
            <w:r w:rsidRPr="008D4A14">
              <w:rPr>
                <w:b/>
                <w:bCs/>
                <w:sz w:val="18"/>
                <w:szCs w:val="18"/>
              </w:rPr>
              <w:t>3,411</w:t>
            </w:r>
          </w:p>
        </w:tc>
      </w:tr>
      <w:tr w:rsidR="008D4A14" w:rsidRPr="00374C95" w14:paraId="22D83809" w14:textId="77777777" w:rsidTr="00FA1B07">
        <w:trPr>
          <w:trHeight w:val="288"/>
        </w:trPr>
        <w:tc>
          <w:tcPr>
            <w:tcW w:w="723" w:type="pct"/>
            <w:shd w:val="clear" w:color="auto" w:fill="auto"/>
            <w:noWrap/>
            <w:hideMark/>
          </w:tcPr>
          <w:p w14:paraId="2AFFBFEF" w14:textId="77777777" w:rsidR="008D4A14" w:rsidRPr="008D4A14" w:rsidRDefault="008D4A14" w:rsidP="008D4A14">
            <w:pPr>
              <w:spacing w:line="240" w:lineRule="auto"/>
              <w:jc w:val="both"/>
              <w:rPr>
                <w:rFonts w:cstheme="minorHAnsi"/>
                <w:sz w:val="18"/>
                <w:szCs w:val="18"/>
              </w:rPr>
            </w:pPr>
            <w:r w:rsidRPr="008D4A14">
              <w:rPr>
                <w:sz w:val="18"/>
                <w:szCs w:val="18"/>
              </w:rPr>
              <w:t>2 bedrooms</w:t>
            </w:r>
          </w:p>
        </w:tc>
        <w:tc>
          <w:tcPr>
            <w:tcW w:w="712" w:type="pct"/>
            <w:shd w:val="clear" w:color="auto" w:fill="auto"/>
            <w:noWrap/>
            <w:vAlign w:val="center"/>
            <w:hideMark/>
          </w:tcPr>
          <w:p w14:paraId="3072EBCC" w14:textId="5E0FEA33" w:rsidR="008D4A14" w:rsidRPr="008D4A14" w:rsidRDefault="008D4A14" w:rsidP="008D4A14">
            <w:pPr>
              <w:spacing w:line="240" w:lineRule="auto"/>
              <w:jc w:val="both"/>
              <w:rPr>
                <w:rFonts w:cstheme="minorHAnsi"/>
                <w:sz w:val="18"/>
                <w:szCs w:val="18"/>
              </w:rPr>
            </w:pPr>
            <w:r w:rsidRPr="008D4A14">
              <w:rPr>
                <w:sz w:val="18"/>
                <w:szCs w:val="18"/>
              </w:rPr>
              <w:t>240</w:t>
            </w:r>
          </w:p>
        </w:tc>
        <w:tc>
          <w:tcPr>
            <w:tcW w:w="712" w:type="pct"/>
            <w:shd w:val="clear" w:color="auto" w:fill="auto"/>
            <w:noWrap/>
            <w:vAlign w:val="center"/>
            <w:hideMark/>
          </w:tcPr>
          <w:p w14:paraId="43CCBEE3" w14:textId="2DF43723" w:rsidR="008D4A14" w:rsidRPr="008D4A14" w:rsidRDefault="008D4A14" w:rsidP="008D4A14">
            <w:pPr>
              <w:spacing w:line="240" w:lineRule="auto"/>
              <w:jc w:val="both"/>
              <w:rPr>
                <w:rFonts w:cstheme="minorHAnsi"/>
                <w:sz w:val="18"/>
                <w:szCs w:val="18"/>
              </w:rPr>
            </w:pPr>
            <w:r w:rsidRPr="008D4A14">
              <w:rPr>
                <w:sz w:val="18"/>
                <w:szCs w:val="18"/>
              </w:rPr>
              <w:t>957</w:t>
            </w:r>
          </w:p>
        </w:tc>
        <w:tc>
          <w:tcPr>
            <w:tcW w:w="714" w:type="pct"/>
            <w:shd w:val="clear" w:color="auto" w:fill="auto"/>
            <w:noWrap/>
            <w:vAlign w:val="center"/>
            <w:hideMark/>
          </w:tcPr>
          <w:p w14:paraId="20C3D2C6" w14:textId="0B5F9799" w:rsidR="008D4A14" w:rsidRPr="008D4A14" w:rsidRDefault="008D4A14" w:rsidP="008D4A14">
            <w:pPr>
              <w:spacing w:line="240" w:lineRule="auto"/>
              <w:jc w:val="both"/>
              <w:rPr>
                <w:rFonts w:cstheme="minorHAnsi"/>
                <w:sz w:val="18"/>
                <w:szCs w:val="18"/>
              </w:rPr>
            </w:pPr>
            <w:r w:rsidRPr="008D4A14">
              <w:rPr>
                <w:sz w:val="18"/>
                <w:szCs w:val="18"/>
              </w:rPr>
              <w:t>1,667</w:t>
            </w:r>
          </w:p>
        </w:tc>
        <w:tc>
          <w:tcPr>
            <w:tcW w:w="712" w:type="pct"/>
            <w:shd w:val="clear" w:color="auto" w:fill="auto"/>
            <w:noWrap/>
            <w:vAlign w:val="center"/>
            <w:hideMark/>
          </w:tcPr>
          <w:p w14:paraId="1379B446" w14:textId="693B8AF5" w:rsidR="008D4A14" w:rsidRPr="008D4A14" w:rsidRDefault="008D4A14" w:rsidP="008D4A14">
            <w:pPr>
              <w:spacing w:line="240" w:lineRule="auto"/>
              <w:jc w:val="both"/>
              <w:rPr>
                <w:rFonts w:cstheme="minorHAnsi"/>
                <w:sz w:val="18"/>
                <w:szCs w:val="18"/>
              </w:rPr>
            </w:pPr>
            <w:r w:rsidRPr="008D4A14">
              <w:rPr>
                <w:sz w:val="18"/>
                <w:szCs w:val="18"/>
              </w:rPr>
              <w:t>1,218</w:t>
            </w:r>
          </w:p>
        </w:tc>
        <w:tc>
          <w:tcPr>
            <w:tcW w:w="712" w:type="pct"/>
            <w:shd w:val="clear" w:color="auto" w:fill="auto"/>
            <w:noWrap/>
            <w:vAlign w:val="center"/>
            <w:hideMark/>
          </w:tcPr>
          <w:p w14:paraId="3F0599B4" w14:textId="64F8BA11" w:rsidR="008D4A14" w:rsidRPr="008D4A14" w:rsidRDefault="008D4A14" w:rsidP="008D4A14">
            <w:pPr>
              <w:spacing w:line="240" w:lineRule="auto"/>
              <w:jc w:val="both"/>
              <w:rPr>
                <w:rFonts w:cstheme="minorHAnsi"/>
                <w:sz w:val="18"/>
                <w:szCs w:val="18"/>
              </w:rPr>
            </w:pPr>
            <w:r w:rsidRPr="008D4A14">
              <w:rPr>
                <w:sz w:val="18"/>
                <w:szCs w:val="18"/>
              </w:rPr>
              <w:t>4,341</w:t>
            </w:r>
          </w:p>
        </w:tc>
        <w:tc>
          <w:tcPr>
            <w:tcW w:w="713" w:type="pct"/>
            <w:shd w:val="clear" w:color="auto" w:fill="auto"/>
            <w:noWrap/>
            <w:vAlign w:val="center"/>
            <w:hideMark/>
          </w:tcPr>
          <w:p w14:paraId="54E651AD" w14:textId="69652C1A" w:rsidR="008D4A14" w:rsidRPr="008D4A14" w:rsidRDefault="008D4A14" w:rsidP="008D4A14">
            <w:pPr>
              <w:spacing w:line="240" w:lineRule="auto"/>
              <w:jc w:val="both"/>
              <w:rPr>
                <w:rFonts w:cstheme="minorHAnsi"/>
                <w:b/>
                <w:sz w:val="18"/>
                <w:szCs w:val="18"/>
              </w:rPr>
            </w:pPr>
            <w:r w:rsidRPr="008D4A14">
              <w:rPr>
                <w:b/>
                <w:bCs/>
                <w:sz w:val="18"/>
                <w:szCs w:val="18"/>
              </w:rPr>
              <w:t>8,423</w:t>
            </w:r>
          </w:p>
        </w:tc>
      </w:tr>
      <w:tr w:rsidR="008D4A14" w:rsidRPr="00374C95" w14:paraId="10DBD664" w14:textId="77777777" w:rsidTr="00FA1B07">
        <w:trPr>
          <w:trHeight w:val="288"/>
        </w:trPr>
        <w:tc>
          <w:tcPr>
            <w:tcW w:w="723" w:type="pct"/>
            <w:shd w:val="clear" w:color="auto" w:fill="auto"/>
            <w:noWrap/>
            <w:hideMark/>
          </w:tcPr>
          <w:p w14:paraId="5BEA711B" w14:textId="77777777" w:rsidR="008D4A14" w:rsidRPr="008D4A14" w:rsidRDefault="008D4A14" w:rsidP="008D4A14">
            <w:pPr>
              <w:spacing w:line="240" w:lineRule="auto"/>
              <w:jc w:val="both"/>
              <w:rPr>
                <w:rFonts w:cstheme="minorHAnsi"/>
                <w:sz w:val="18"/>
                <w:szCs w:val="18"/>
              </w:rPr>
            </w:pPr>
            <w:r w:rsidRPr="008D4A14">
              <w:rPr>
                <w:sz w:val="18"/>
                <w:szCs w:val="18"/>
              </w:rPr>
              <w:t>3 bedrooms</w:t>
            </w:r>
          </w:p>
        </w:tc>
        <w:tc>
          <w:tcPr>
            <w:tcW w:w="712" w:type="pct"/>
            <w:shd w:val="clear" w:color="auto" w:fill="auto"/>
            <w:noWrap/>
            <w:vAlign w:val="center"/>
            <w:hideMark/>
          </w:tcPr>
          <w:p w14:paraId="4C020FB8" w14:textId="376EF7C6" w:rsidR="008D4A14" w:rsidRPr="008D4A14" w:rsidRDefault="008D4A14" w:rsidP="008D4A14">
            <w:pPr>
              <w:spacing w:line="240" w:lineRule="auto"/>
              <w:jc w:val="both"/>
              <w:rPr>
                <w:rFonts w:cstheme="minorHAnsi"/>
                <w:sz w:val="18"/>
                <w:szCs w:val="18"/>
              </w:rPr>
            </w:pPr>
            <w:r w:rsidRPr="008D4A14">
              <w:rPr>
                <w:sz w:val="18"/>
                <w:szCs w:val="18"/>
              </w:rPr>
              <w:t>79</w:t>
            </w:r>
          </w:p>
        </w:tc>
        <w:tc>
          <w:tcPr>
            <w:tcW w:w="712" w:type="pct"/>
            <w:shd w:val="clear" w:color="auto" w:fill="auto"/>
            <w:noWrap/>
            <w:vAlign w:val="center"/>
            <w:hideMark/>
          </w:tcPr>
          <w:p w14:paraId="0621E9CD" w14:textId="00C5060F" w:rsidR="008D4A14" w:rsidRPr="008D4A14" w:rsidRDefault="008D4A14" w:rsidP="008D4A14">
            <w:pPr>
              <w:spacing w:line="240" w:lineRule="auto"/>
              <w:jc w:val="both"/>
              <w:rPr>
                <w:rFonts w:cstheme="minorHAnsi"/>
                <w:sz w:val="18"/>
                <w:szCs w:val="18"/>
              </w:rPr>
            </w:pPr>
            <w:r w:rsidRPr="008D4A14">
              <w:rPr>
                <w:sz w:val="18"/>
                <w:szCs w:val="18"/>
              </w:rPr>
              <w:t>732</w:t>
            </w:r>
          </w:p>
        </w:tc>
        <w:tc>
          <w:tcPr>
            <w:tcW w:w="714" w:type="pct"/>
            <w:shd w:val="clear" w:color="auto" w:fill="auto"/>
            <w:noWrap/>
            <w:vAlign w:val="center"/>
            <w:hideMark/>
          </w:tcPr>
          <w:p w14:paraId="5E131CC9" w14:textId="30F1FE0C" w:rsidR="008D4A14" w:rsidRPr="008D4A14" w:rsidRDefault="008D4A14" w:rsidP="008D4A14">
            <w:pPr>
              <w:spacing w:line="240" w:lineRule="auto"/>
              <w:jc w:val="both"/>
              <w:rPr>
                <w:rFonts w:cstheme="minorHAnsi"/>
                <w:sz w:val="18"/>
                <w:szCs w:val="18"/>
              </w:rPr>
            </w:pPr>
            <w:r w:rsidRPr="008D4A14">
              <w:rPr>
                <w:sz w:val="18"/>
                <w:szCs w:val="18"/>
              </w:rPr>
              <w:t>3,091</w:t>
            </w:r>
          </w:p>
        </w:tc>
        <w:tc>
          <w:tcPr>
            <w:tcW w:w="712" w:type="pct"/>
            <w:shd w:val="clear" w:color="auto" w:fill="auto"/>
            <w:noWrap/>
            <w:vAlign w:val="center"/>
            <w:hideMark/>
          </w:tcPr>
          <w:p w14:paraId="1E443785" w14:textId="35813767" w:rsidR="008D4A14" w:rsidRPr="008D4A14" w:rsidRDefault="008D4A14" w:rsidP="008D4A14">
            <w:pPr>
              <w:spacing w:line="240" w:lineRule="auto"/>
              <w:jc w:val="both"/>
              <w:rPr>
                <w:rFonts w:cstheme="minorHAnsi"/>
                <w:sz w:val="18"/>
                <w:szCs w:val="18"/>
              </w:rPr>
            </w:pPr>
            <w:r w:rsidRPr="008D4A14">
              <w:rPr>
                <w:sz w:val="18"/>
                <w:szCs w:val="18"/>
              </w:rPr>
              <w:t>2,014</w:t>
            </w:r>
          </w:p>
        </w:tc>
        <w:tc>
          <w:tcPr>
            <w:tcW w:w="712" w:type="pct"/>
            <w:shd w:val="clear" w:color="auto" w:fill="auto"/>
            <w:noWrap/>
            <w:vAlign w:val="center"/>
            <w:hideMark/>
          </w:tcPr>
          <w:p w14:paraId="3A129D64" w14:textId="157C6998" w:rsidR="008D4A14" w:rsidRPr="008D4A14" w:rsidRDefault="008D4A14" w:rsidP="008D4A14">
            <w:pPr>
              <w:spacing w:line="240" w:lineRule="auto"/>
              <w:jc w:val="both"/>
              <w:rPr>
                <w:rFonts w:cstheme="minorHAnsi"/>
                <w:sz w:val="18"/>
                <w:szCs w:val="18"/>
              </w:rPr>
            </w:pPr>
            <w:r w:rsidRPr="008D4A14">
              <w:rPr>
                <w:sz w:val="18"/>
                <w:szCs w:val="18"/>
              </w:rPr>
              <w:t>5,417</w:t>
            </w:r>
          </w:p>
        </w:tc>
        <w:tc>
          <w:tcPr>
            <w:tcW w:w="713" w:type="pct"/>
            <w:shd w:val="clear" w:color="auto" w:fill="auto"/>
            <w:noWrap/>
            <w:vAlign w:val="center"/>
            <w:hideMark/>
          </w:tcPr>
          <w:p w14:paraId="772CE861" w14:textId="4D59BECE" w:rsidR="008D4A14" w:rsidRPr="008D4A14" w:rsidRDefault="008D4A14" w:rsidP="008D4A14">
            <w:pPr>
              <w:spacing w:line="240" w:lineRule="auto"/>
              <w:jc w:val="both"/>
              <w:rPr>
                <w:rFonts w:cstheme="minorHAnsi"/>
                <w:b/>
                <w:sz w:val="18"/>
                <w:szCs w:val="18"/>
              </w:rPr>
            </w:pPr>
            <w:r w:rsidRPr="008D4A14">
              <w:rPr>
                <w:b/>
                <w:bCs/>
                <w:sz w:val="18"/>
                <w:szCs w:val="18"/>
              </w:rPr>
              <w:t>11,333</w:t>
            </w:r>
          </w:p>
        </w:tc>
      </w:tr>
      <w:tr w:rsidR="008D4A14" w:rsidRPr="00374C95" w14:paraId="134CC013" w14:textId="77777777" w:rsidTr="00FA1B07">
        <w:trPr>
          <w:trHeight w:val="288"/>
        </w:trPr>
        <w:tc>
          <w:tcPr>
            <w:tcW w:w="723" w:type="pct"/>
            <w:shd w:val="clear" w:color="auto" w:fill="auto"/>
            <w:noWrap/>
            <w:hideMark/>
          </w:tcPr>
          <w:p w14:paraId="5CBC6543" w14:textId="77777777" w:rsidR="008D4A14" w:rsidRPr="008D4A14" w:rsidRDefault="008D4A14" w:rsidP="008D4A14">
            <w:pPr>
              <w:spacing w:line="240" w:lineRule="auto"/>
              <w:jc w:val="both"/>
              <w:rPr>
                <w:rFonts w:cstheme="minorHAnsi"/>
                <w:sz w:val="18"/>
                <w:szCs w:val="18"/>
              </w:rPr>
            </w:pPr>
            <w:r w:rsidRPr="008D4A14">
              <w:rPr>
                <w:sz w:val="18"/>
                <w:szCs w:val="18"/>
              </w:rPr>
              <w:t>4 bedrooms</w:t>
            </w:r>
          </w:p>
        </w:tc>
        <w:tc>
          <w:tcPr>
            <w:tcW w:w="712" w:type="pct"/>
            <w:shd w:val="clear" w:color="auto" w:fill="auto"/>
            <w:noWrap/>
            <w:vAlign w:val="center"/>
            <w:hideMark/>
          </w:tcPr>
          <w:p w14:paraId="42859840" w14:textId="37D81037" w:rsidR="008D4A14" w:rsidRPr="008D4A14" w:rsidRDefault="008D4A14" w:rsidP="008D4A14">
            <w:pPr>
              <w:spacing w:line="240" w:lineRule="auto"/>
              <w:jc w:val="both"/>
              <w:rPr>
                <w:rFonts w:cstheme="minorHAnsi"/>
                <w:sz w:val="18"/>
                <w:szCs w:val="18"/>
              </w:rPr>
            </w:pPr>
            <w:r w:rsidRPr="008D4A14">
              <w:rPr>
                <w:sz w:val="18"/>
                <w:szCs w:val="18"/>
              </w:rPr>
              <w:t>11</w:t>
            </w:r>
          </w:p>
        </w:tc>
        <w:tc>
          <w:tcPr>
            <w:tcW w:w="712" w:type="pct"/>
            <w:shd w:val="clear" w:color="auto" w:fill="auto"/>
            <w:noWrap/>
            <w:vAlign w:val="center"/>
            <w:hideMark/>
          </w:tcPr>
          <w:p w14:paraId="1A2EB215" w14:textId="60694CD0" w:rsidR="008D4A14" w:rsidRPr="008D4A14" w:rsidRDefault="008D4A14" w:rsidP="008D4A14">
            <w:pPr>
              <w:spacing w:line="240" w:lineRule="auto"/>
              <w:jc w:val="both"/>
              <w:rPr>
                <w:rFonts w:cstheme="minorHAnsi"/>
                <w:sz w:val="18"/>
                <w:szCs w:val="18"/>
              </w:rPr>
            </w:pPr>
            <w:r w:rsidRPr="008D4A14">
              <w:rPr>
                <w:sz w:val="18"/>
                <w:szCs w:val="18"/>
              </w:rPr>
              <w:t>126</w:t>
            </w:r>
          </w:p>
        </w:tc>
        <w:tc>
          <w:tcPr>
            <w:tcW w:w="714" w:type="pct"/>
            <w:shd w:val="clear" w:color="auto" w:fill="auto"/>
            <w:noWrap/>
            <w:vAlign w:val="center"/>
            <w:hideMark/>
          </w:tcPr>
          <w:p w14:paraId="0C729983" w14:textId="27E86F59" w:rsidR="008D4A14" w:rsidRPr="008D4A14" w:rsidRDefault="008D4A14" w:rsidP="008D4A14">
            <w:pPr>
              <w:spacing w:line="240" w:lineRule="auto"/>
              <w:jc w:val="both"/>
              <w:rPr>
                <w:rFonts w:cstheme="minorHAnsi"/>
                <w:sz w:val="18"/>
                <w:szCs w:val="18"/>
              </w:rPr>
            </w:pPr>
            <w:r w:rsidRPr="008D4A14">
              <w:rPr>
                <w:sz w:val="18"/>
                <w:szCs w:val="18"/>
              </w:rPr>
              <w:t>1,157</w:t>
            </w:r>
          </w:p>
        </w:tc>
        <w:tc>
          <w:tcPr>
            <w:tcW w:w="712" w:type="pct"/>
            <w:shd w:val="clear" w:color="auto" w:fill="auto"/>
            <w:noWrap/>
            <w:vAlign w:val="center"/>
            <w:hideMark/>
          </w:tcPr>
          <w:p w14:paraId="2377EDD0" w14:textId="15AD91BB" w:rsidR="008D4A14" w:rsidRPr="008D4A14" w:rsidRDefault="008D4A14" w:rsidP="008D4A14">
            <w:pPr>
              <w:spacing w:line="240" w:lineRule="auto"/>
              <w:jc w:val="both"/>
              <w:rPr>
                <w:rFonts w:cstheme="minorHAnsi"/>
                <w:sz w:val="18"/>
                <w:szCs w:val="18"/>
              </w:rPr>
            </w:pPr>
            <w:r w:rsidRPr="008D4A14">
              <w:rPr>
                <w:sz w:val="18"/>
                <w:szCs w:val="18"/>
              </w:rPr>
              <w:t>727</w:t>
            </w:r>
          </w:p>
        </w:tc>
        <w:tc>
          <w:tcPr>
            <w:tcW w:w="712" w:type="pct"/>
            <w:shd w:val="clear" w:color="auto" w:fill="auto"/>
            <w:noWrap/>
            <w:vAlign w:val="center"/>
            <w:hideMark/>
          </w:tcPr>
          <w:p w14:paraId="4AEB1962" w14:textId="5DA8D0B1" w:rsidR="008D4A14" w:rsidRPr="008D4A14" w:rsidRDefault="008D4A14" w:rsidP="008D4A14">
            <w:pPr>
              <w:spacing w:line="240" w:lineRule="auto"/>
              <w:jc w:val="both"/>
              <w:rPr>
                <w:rFonts w:cstheme="minorHAnsi"/>
                <w:sz w:val="18"/>
                <w:szCs w:val="18"/>
              </w:rPr>
            </w:pPr>
            <w:r w:rsidRPr="008D4A14">
              <w:rPr>
                <w:sz w:val="18"/>
                <w:szCs w:val="18"/>
              </w:rPr>
              <w:t>1,533</w:t>
            </w:r>
          </w:p>
        </w:tc>
        <w:tc>
          <w:tcPr>
            <w:tcW w:w="713" w:type="pct"/>
            <w:shd w:val="clear" w:color="auto" w:fill="auto"/>
            <w:noWrap/>
            <w:vAlign w:val="center"/>
            <w:hideMark/>
          </w:tcPr>
          <w:p w14:paraId="38398FC1" w14:textId="300B3517" w:rsidR="008D4A14" w:rsidRPr="008D4A14" w:rsidRDefault="008D4A14" w:rsidP="008D4A14">
            <w:pPr>
              <w:spacing w:line="240" w:lineRule="auto"/>
              <w:jc w:val="both"/>
              <w:rPr>
                <w:rFonts w:cstheme="minorHAnsi"/>
                <w:b/>
                <w:sz w:val="18"/>
                <w:szCs w:val="18"/>
              </w:rPr>
            </w:pPr>
            <w:r w:rsidRPr="008D4A14">
              <w:rPr>
                <w:b/>
                <w:bCs/>
                <w:sz w:val="18"/>
                <w:szCs w:val="18"/>
              </w:rPr>
              <w:t>3,555</w:t>
            </w:r>
          </w:p>
        </w:tc>
      </w:tr>
      <w:tr w:rsidR="008D4A14" w:rsidRPr="00374C95" w14:paraId="238882F4" w14:textId="77777777" w:rsidTr="00FA1B07">
        <w:trPr>
          <w:trHeight w:val="288"/>
        </w:trPr>
        <w:tc>
          <w:tcPr>
            <w:tcW w:w="723" w:type="pct"/>
            <w:shd w:val="clear" w:color="auto" w:fill="auto"/>
            <w:noWrap/>
            <w:hideMark/>
          </w:tcPr>
          <w:p w14:paraId="02714E08" w14:textId="77777777" w:rsidR="008D4A14" w:rsidRPr="008D4A14" w:rsidRDefault="008D4A14" w:rsidP="008D4A14">
            <w:pPr>
              <w:spacing w:line="240" w:lineRule="auto"/>
              <w:jc w:val="both"/>
              <w:rPr>
                <w:rFonts w:cstheme="minorHAnsi"/>
                <w:sz w:val="18"/>
                <w:szCs w:val="18"/>
              </w:rPr>
            </w:pPr>
            <w:r w:rsidRPr="008D4A14">
              <w:rPr>
                <w:sz w:val="18"/>
                <w:szCs w:val="18"/>
              </w:rPr>
              <w:t>5+ bedrooms</w:t>
            </w:r>
          </w:p>
        </w:tc>
        <w:tc>
          <w:tcPr>
            <w:tcW w:w="712" w:type="pct"/>
            <w:shd w:val="clear" w:color="auto" w:fill="auto"/>
            <w:noWrap/>
            <w:vAlign w:val="center"/>
            <w:hideMark/>
          </w:tcPr>
          <w:p w14:paraId="4FCB3410" w14:textId="63B45A2A" w:rsidR="008D4A14" w:rsidRPr="008D4A14" w:rsidRDefault="008D4A14" w:rsidP="008D4A14">
            <w:pPr>
              <w:spacing w:line="240" w:lineRule="auto"/>
              <w:jc w:val="both"/>
              <w:rPr>
                <w:rFonts w:cstheme="minorHAnsi"/>
                <w:sz w:val="18"/>
                <w:szCs w:val="18"/>
              </w:rPr>
            </w:pPr>
            <w:r w:rsidRPr="008D4A14">
              <w:rPr>
                <w:sz w:val="18"/>
                <w:szCs w:val="18"/>
              </w:rPr>
              <w:t>9</w:t>
            </w:r>
          </w:p>
        </w:tc>
        <w:tc>
          <w:tcPr>
            <w:tcW w:w="712" w:type="pct"/>
            <w:shd w:val="clear" w:color="auto" w:fill="auto"/>
            <w:noWrap/>
            <w:vAlign w:val="center"/>
            <w:hideMark/>
          </w:tcPr>
          <w:p w14:paraId="41993BA2" w14:textId="5FC31268" w:rsidR="008D4A14" w:rsidRPr="008D4A14" w:rsidRDefault="008D4A14" w:rsidP="008D4A14">
            <w:pPr>
              <w:spacing w:line="240" w:lineRule="auto"/>
              <w:jc w:val="both"/>
              <w:rPr>
                <w:rFonts w:cstheme="minorHAnsi"/>
                <w:sz w:val="18"/>
                <w:szCs w:val="18"/>
              </w:rPr>
            </w:pPr>
            <w:r w:rsidRPr="008D4A14">
              <w:rPr>
                <w:sz w:val="18"/>
                <w:szCs w:val="18"/>
              </w:rPr>
              <w:t>38</w:t>
            </w:r>
          </w:p>
        </w:tc>
        <w:tc>
          <w:tcPr>
            <w:tcW w:w="714" w:type="pct"/>
            <w:shd w:val="clear" w:color="auto" w:fill="auto"/>
            <w:noWrap/>
            <w:vAlign w:val="center"/>
            <w:hideMark/>
          </w:tcPr>
          <w:p w14:paraId="2E917CF6" w14:textId="4F045ED4" w:rsidR="008D4A14" w:rsidRPr="008D4A14" w:rsidRDefault="008D4A14" w:rsidP="008D4A14">
            <w:pPr>
              <w:spacing w:line="240" w:lineRule="auto"/>
              <w:jc w:val="both"/>
              <w:rPr>
                <w:rFonts w:cstheme="minorHAnsi"/>
                <w:sz w:val="18"/>
                <w:szCs w:val="18"/>
              </w:rPr>
            </w:pPr>
            <w:r w:rsidRPr="008D4A14">
              <w:rPr>
                <w:sz w:val="18"/>
                <w:szCs w:val="18"/>
              </w:rPr>
              <w:t>317</w:t>
            </w:r>
          </w:p>
        </w:tc>
        <w:tc>
          <w:tcPr>
            <w:tcW w:w="712" w:type="pct"/>
            <w:shd w:val="clear" w:color="auto" w:fill="auto"/>
            <w:noWrap/>
            <w:vAlign w:val="center"/>
            <w:hideMark/>
          </w:tcPr>
          <w:p w14:paraId="1E73AB4E" w14:textId="0359ACD1" w:rsidR="008D4A14" w:rsidRPr="008D4A14" w:rsidRDefault="008D4A14" w:rsidP="008D4A14">
            <w:pPr>
              <w:spacing w:line="240" w:lineRule="auto"/>
              <w:jc w:val="both"/>
              <w:rPr>
                <w:rFonts w:cstheme="minorHAnsi"/>
                <w:sz w:val="18"/>
                <w:szCs w:val="18"/>
              </w:rPr>
            </w:pPr>
            <w:r w:rsidRPr="008D4A14">
              <w:rPr>
                <w:sz w:val="18"/>
                <w:szCs w:val="18"/>
              </w:rPr>
              <w:t>201</w:t>
            </w:r>
          </w:p>
        </w:tc>
        <w:tc>
          <w:tcPr>
            <w:tcW w:w="712" w:type="pct"/>
            <w:shd w:val="clear" w:color="auto" w:fill="auto"/>
            <w:noWrap/>
            <w:vAlign w:val="center"/>
            <w:hideMark/>
          </w:tcPr>
          <w:p w14:paraId="567FA32E" w14:textId="2AD7AE21" w:rsidR="008D4A14" w:rsidRPr="008D4A14" w:rsidRDefault="008D4A14" w:rsidP="008D4A14">
            <w:pPr>
              <w:spacing w:line="240" w:lineRule="auto"/>
              <w:jc w:val="both"/>
              <w:rPr>
                <w:rFonts w:cstheme="minorHAnsi"/>
                <w:sz w:val="18"/>
                <w:szCs w:val="18"/>
              </w:rPr>
            </w:pPr>
            <w:r w:rsidRPr="008D4A14">
              <w:rPr>
                <w:sz w:val="18"/>
                <w:szCs w:val="18"/>
              </w:rPr>
              <w:t>342</w:t>
            </w:r>
          </w:p>
        </w:tc>
        <w:tc>
          <w:tcPr>
            <w:tcW w:w="713" w:type="pct"/>
            <w:shd w:val="clear" w:color="auto" w:fill="auto"/>
            <w:noWrap/>
            <w:vAlign w:val="center"/>
            <w:hideMark/>
          </w:tcPr>
          <w:p w14:paraId="79A3FF5D" w14:textId="41996178" w:rsidR="008D4A14" w:rsidRPr="008D4A14" w:rsidRDefault="008D4A14" w:rsidP="008D4A14">
            <w:pPr>
              <w:spacing w:line="240" w:lineRule="auto"/>
              <w:jc w:val="both"/>
              <w:rPr>
                <w:rFonts w:cstheme="minorHAnsi"/>
                <w:b/>
                <w:sz w:val="18"/>
                <w:szCs w:val="18"/>
              </w:rPr>
            </w:pPr>
            <w:r w:rsidRPr="008D4A14">
              <w:rPr>
                <w:b/>
                <w:bCs/>
                <w:sz w:val="18"/>
                <w:szCs w:val="18"/>
              </w:rPr>
              <w:t>908</w:t>
            </w:r>
          </w:p>
        </w:tc>
      </w:tr>
    </w:tbl>
    <w:p w14:paraId="4714A155" w14:textId="7EF66DA5" w:rsidR="002C2D5C" w:rsidRPr="00374C95" w:rsidRDefault="002C2D5C" w:rsidP="002C2D5C">
      <w:pPr>
        <w:pStyle w:val="Source"/>
        <w:jc w:val="both"/>
        <w:rPr>
          <w:sz w:val="18"/>
          <w:szCs w:val="18"/>
          <w:lang w:val="en-GB"/>
        </w:rPr>
      </w:pPr>
      <w:r w:rsidRPr="00374C95">
        <w:rPr>
          <w:sz w:val="18"/>
          <w:szCs w:val="18"/>
          <w:lang w:val="en-GB"/>
        </w:rPr>
        <w:t>Source: Census 2011, AECOM Calculations</w:t>
      </w:r>
      <w:r w:rsidR="00430AD8">
        <w:rPr>
          <w:sz w:val="18"/>
          <w:szCs w:val="18"/>
          <w:lang w:val="en-GB"/>
        </w:rPr>
        <w:t>. Figures may not sum due to rounding</w:t>
      </w:r>
    </w:p>
    <w:p w14:paraId="7D7E19C9" w14:textId="01052E08" w:rsidR="002C2D5C" w:rsidRPr="00AC0E8A" w:rsidRDefault="002C2D5C" w:rsidP="00A82210">
      <w:pPr>
        <w:pStyle w:val="ListNumber"/>
      </w:pPr>
      <w:r w:rsidRPr="00AC0E8A">
        <w:t xml:space="preserve">It is now possible to compare the </w:t>
      </w:r>
      <w:r w:rsidR="00AC0E8A">
        <w:t xml:space="preserve">2011 </w:t>
      </w:r>
      <w:r w:rsidRPr="00AC0E8A">
        <w:t>housi</w:t>
      </w:r>
      <w:r w:rsidR="00AC0E8A">
        <w:t xml:space="preserve">ng mix in terms of size </w:t>
      </w:r>
      <w:r w:rsidRPr="00AC0E8A">
        <w:t>with the projected requirement based</w:t>
      </w:r>
      <w:r w:rsidR="00AC0E8A">
        <w:t xml:space="preserve"> on the estimates set out </w:t>
      </w:r>
      <w:r w:rsidRPr="00AC0E8A">
        <w:t xml:space="preserve">in </w:t>
      </w:r>
      <w:r w:rsidRPr="00AC0E8A">
        <w:fldChar w:fldCharType="begin"/>
      </w:r>
      <w:r w:rsidRPr="00AC0E8A">
        <w:instrText xml:space="preserve"> REF _Ref2613011 \h  \* MERGEFORMAT </w:instrText>
      </w:r>
      <w:r w:rsidRPr="00AC0E8A">
        <w:fldChar w:fldCharType="separate"/>
      </w:r>
      <w:r w:rsidR="00603781" w:rsidRPr="002D4F56">
        <w:t xml:space="preserve">Table </w:t>
      </w:r>
      <w:r w:rsidR="00603781">
        <w:rPr>
          <w:noProof/>
        </w:rPr>
        <w:t>5</w:t>
      </w:r>
      <w:r w:rsidR="00603781">
        <w:rPr>
          <w:noProof/>
        </w:rPr>
        <w:noBreakHyphen/>
        <w:t>12</w:t>
      </w:r>
      <w:r w:rsidRPr="00AC0E8A">
        <w:fldChar w:fldCharType="end"/>
      </w:r>
      <w:r w:rsidRPr="00AC0E8A">
        <w:t xml:space="preserve"> </w:t>
      </w:r>
      <w:r w:rsidR="00AC0E8A">
        <w:t xml:space="preserve">above modelling the </w:t>
      </w:r>
      <w:r w:rsidRPr="00AC0E8A">
        <w:t xml:space="preserve">change in the age structure of the population in </w:t>
      </w:r>
      <w:r w:rsidR="0015105E">
        <w:t>Weymouth</w:t>
      </w:r>
      <w:r w:rsidRPr="00AC0E8A">
        <w:t xml:space="preserve">. </w:t>
      </w:r>
    </w:p>
    <w:p w14:paraId="24F06190" w14:textId="7AD7FEC2" w:rsidR="002C2D5C" w:rsidRPr="00AC0E8A" w:rsidRDefault="002C2D5C" w:rsidP="00A82210">
      <w:pPr>
        <w:pStyle w:val="ListNumber"/>
      </w:pPr>
      <w:r w:rsidRPr="00AC0E8A">
        <w:fldChar w:fldCharType="begin"/>
      </w:r>
      <w:r w:rsidRPr="00AC0E8A">
        <w:instrText xml:space="preserve"> REF _Ref4498910 \h  \* MERGEFORMAT </w:instrText>
      </w:r>
      <w:r w:rsidRPr="00AC0E8A">
        <w:fldChar w:fldCharType="separate"/>
      </w:r>
      <w:r w:rsidR="00603781" w:rsidRPr="002D4F56">
        <w:t xml:space="preserve">Table </w:t>
      </w:r>
      <w:r w:rsidR="00603781">
        <w:rPr>
          <w:noProof/>
        </w:rPr>
        <w:t>5</w:t>
      </w:r>
      <w:r w:rsidR="00603781">
        <w:rPr>
          <w:noProof/>
        </w:rPr>
        <w:noBreakHyphen/>
        <w:t>13</w:t>
      </w:r>
      <w:r w:rsidRPr="00AC0E8A">
        <w:fldChar w:fldCharType="end"/>
      </w:r>
      <w:r w:rsidRPr="00AC0E8A">
        <w:t xml:space="preserve"> below indicates that, by </w:t>
      </w:r>
      <w:r w:rsidR="008D4A14">
        <w:t>2038</w:t>
      </w:r>
      <w:r w:rsidRPr="00AC0E8A">
        <w:t xml:space="preserve">, the </w:t>
      </w:r>
      <w:r w:rsidR="00AC0E8A">
        <w:t xml:space="preserve">size </w:t>
      </w:r>
      <w:r w:rsidRPr="00AC0E8A">
        <w:t xml:space="preserve">distribution of dwellings should </w:t>
      </w:r>
      <w:r w:rsidR="00F05364">
        <w:t xml:space="preserve">ideally </w:t>
      </w:r>
      <w:r w:rsidRPr="00AC0E8A">
        <w:t>be</w:t>
      </w:r>
      <w:r w:rsidR="00AC0E8A">
        <w:t xml:space="preserve"> as follows</w:t>
      </w:r>
      <w:bookmarkStart w:id="173" w:name="_Ref2613576"/>
      <w:bookmarkStart w:id="174" w:name="_Ref4498855"/>
      <w:r w:rsidR="00A97C82">
        <w:t>: The majority of properties, at just over 40%, should be 3 bedroom homes, followed by 2 bedroom homes at just over 30%. Only 3% of properties should be in the largest size category of over 5 bedrooms. The remainder should be split relatively evenly between 1 and 4 bed properties, at 12-13% each.</w:t>
      </w:r>
    </w:p>
    <w:p w14:paraId="34DB9E7D" w14:textId="512F03D0" w:rsidR="002C2D5C" w:rsidRPr="002D4F56" w:rsidRDefault="002C2D5C" w:rsidP="002C2D5C">
      <w:pPr>
        <w:pStyle w:val="Caption"/>
        <w:jc w:val="both"/>
        <w:rPr>
          <w:sz w:val="18"/>
          <w:szCs w:val="18"/>
        </w:rPr>
      </w:pPr>
      <w:bookmarkStart w:id="175" w:name="_Ref4498910"/>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13</w:t>
      </w:r>
      <w:r w:rsidR="00BA4C32">
        <w:rPr>
          <w:sz w:val="18"/>
          <w:szCs w:val="18"/>
        </w:rPr>
        <w:fldChar w:fldCharType="end"/>
      </w:r>
      <w:bookmarkEnd w:id="173"/>
      <w:bookmarkEnd w:id="174"/>
      <w:bookmarkEnd w:id="175"/>
      <w:r w:rsidRPr="002D4F56">
        <w:rPr>
          <w:sz w:val="18"/>
          <w:szCs w:val="18"/>
        </w:rPr>
        <w:t xml:space="preserve">: </w:t>
      </w:r>
      <w:r w:rsidR="00AC0E8A" w:rsidRPr="002D4F56">
        <w:rPr>
          <w:sz w:val="18"/>
          <w:szCs w:val="18"/>
        </w:rPr>
        <w:t xml:space="preserve">2011 housing sizes </w:t>
      </w:r>
      <w:r w:rsidRPr="002D4F56">
        <w:rPr>
          <w:sz w:val="18"/>
          <w:szCs w:val="18"/>
        </w:rPr>
        <w:t>compared t</w:t>
      </w:r>
      <w:r w:rsidR="00F16F43">
        <w:rPr>
          <w:sz w:val="18"/>
          <w:szCs w:val="18"/>
        </w:rPr>
        <w:t xml:space="preserve">o </w:t>
      </w:r>
      <w:r w:rsidR="00947C8A">
        <w:rPr>
          <w:sz w:val="18"/>
          <w:szCs w:val="18"/>
        </w:rPr>
        <w:t>ideal</w:t>
      </w:r>
      <w:r w:rsidR="000F4C55">
        <w:rPr>
          <w:sz w:val="18"/>
          <w:szCs w:val="18"/>
        </w:rPr>
        <w:t xml:space="preserve"> </w:t>
      </w:r>
      <w:r w:rsidR="00F16F43">
        <w:rPr>
          <w:sz w:val="18"/>
          <w:szCs w:val="18"/>
        </w:rPr>
        <w:t>distribution at end of P</w:t>
      </w:r>
      <w:r w:rsidRPr="002D4F56">
        <w:rPr>
          <w:sz w:val="18"/>
          <w:szCs w:val="18"/>
        </w:rPr>
        <w:t>lan period</w:t>
      </w:r>
      <w:r w:rsidR="002D4F56">
        <w:rPr>
          <w:sz w:val="18"/>
          <w:szCs w:val="18"/>
        </w:rPr>
        <w:t xml:space="preserve">, </w:t>
      </w:r>
      <w:r w:rsidR="0015105E">
        <w:rPr>
          <w:sz w:val="18"/>
          <w:szCs w:val="18"/>
        </w:rPr>
        <w:t>Weymouth</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1517"/>
        <w:gridCol w:w="1521"/>
        <w:gridCol w:w="1517"/>
        <w:gridCol w:w="1514"/>
      </w:tblGrid>
      <w:tr w:rsidR="002C2D5C" w:rsidRPr="00374C95" w14:paraId="69B98D2D" w14:textId="77777777" w:rsidTr="008D4A14">
        <w:trPr>
          <w:trHeight w:val="288"/>
        </w:trPr>
        <w:tc>
          <w:tcPr>
            <w:tcW w:w="1776" w:type="pct"/>
            <w:shd w:val="clear" w:color="auto" w:fill="000000" w:themeFill="text1"/>
            <w:noWrap/>
            <w:vAlign w:val="center"/>
            <w:hideMark/>
          </w:tcPr>
          <w:p w14:paraId="685BFEB2" w14:textId="1F53CD30" w:rsidR="002C2D5C" w:rsidRPr="008D4A14" w:rsidRDefault="002C2D5C" w:rsidP="00C378B2">
            <w:pPr>
              <w:spacing w:line="240" w:lineRule="auto"/>
              <w:jc w:val="both"/>
              <w:rPr>
                <w:rFonts w:cstheme="minorHAnsi"/>
                <w:b/>
                <w:color w:val="FFFFFF" w:themeColor="background1"/>
                <w:sz w:val="18"/>
                <w:szCs w:val="18"/>
              </w:rPr>
            </w:pPr>
            <w:r w:rsidRPr="008D4A14">
              <w:rPr>
                <w:rFonts w:cstheme="minorHAnsi"/>
                <w:b/>
                <w:color w:val="FFFFFF" w:themeColor="background1"/>
                <w:sz w:val="18"/>
                <w:szCs w:val="18"/>
              </w:rPr>
              <w:t>Number of bedrooms</w:t>
            </w:r>
          </w:p>
        </w:tc>
        <w:tc>
          <w:tcPr>
            <w:tcW w:w="1614" w:type="pct"/>
            <w:gridSpan w:val="2"/>
            <w:shd w:val="clear" w:color="auto" w:fill="000000" w:themeFill="text1"/>
            <w:noWrap/>
            <w:vAlign w:val="center"/>
            <w:hideMark/>
          </w:tcPr>
          <w:p w14:paraId="2C46D1F9" w14:textId="3FF1574C" w:rsidR="002C2D5C" w:rsidRPr="008D4A14" w:rsidRDefault="00E7539D" w:rsidP="00C378B2">
            <w:pPr>
              <w:spacing w:line="240" w:lineRule="auto"/>
              <w:jc w:val="both"/>
              <w:rPr>
                <w:rFonts w:cstheme="minorHAnsi"/>
                <w:b/>
                <w:color w:val="FFFFFF" w:themeColor="background1"/>
                <w:sz w:val="18"/>
                <w:szCs w:val="18"/>
              </w:rPr>
            </w:pPr>
            <w:r w:rsidRPr="008D4A14">
              <w:rPr>
                <w:b/>
                <w:color w:val="FFFFFF" w:themeColor="background1"/>
                <w:sz w:val="18"/>
                <w:szCs w:val="18"/>
              </w:rPr>
              <w:t>2011</w:t>
            </w:r>
          </w:p>
        </w:tc>
        <w:tc>
          <w:tcPr>
            <w:tcW w:w="1611" w:type="pct"/>
            <w:gridSpan w:val="2"/>
            <w:shd w:val="clear" w:color="auto" w:fill="000000" w:themeFill="text1"/>
            <w:noWrap/>
            <w:vAlign w:val="center"/>
            <w:hideMark/>
          </w:tcPr>
          <w:p w14:paraId="33F21918" w14:textId="533B6EBA" w:rsidR="002C2D5C" w:rsidRPr="008D4A14" w:rsidRDefault="008D4A14" w:rsidP="00C378B2">
            <w:pPr>
              <w:spacing w:line="240" w:lineRule="auto"/>
              <w:jc w:val="both"/>
              <w:rPr>
                <w:rFonts w:cstheme="minorHAnsi"/>
                <w:b/>
                <w:color w:val="FFFFFF" w:themeColor="background1"/>
                <w:sz w:val="18"/>
                <w:szCs w:val="18"/>
              </w:rPr>
            </w:pPr>
            <w:r w:rsidRPr="008D4A14">
              <w:rPr>
                <w:rFonts w:cstheme="minorHAnsi"/>
                <w:b/>
                <w:color w:val="FFFFFF" w:themeColor="background1"/>
                <w:sz w:val="18"/>
                <w:szCs w:val="18"/>
              </w:rPr>
              <w:t>2038</w:t>
            </w:r>
          </w:p>
        </w:tc>
      </w:tr>
      <w:tr w:rsidR="008D4A14" w:rsidRPr="00374C95" w14:paraId="2D74C0CC" w14:textId="77777777" w:rsidTr="008D4A14">
        <w:trPr>
          <w:trHeight w:val="288"/>
        </w:trPr>
        <w:tc>
          <w:tcPr>
            <w:tcW w:w="1776" w:type="pct"/>
            <w:shd w:val="clear" w:color="auto" w:fill="auto"/>
            <w:noWrap/>
            <w:vAlign w:val="center"/>
            <w:hideMark/>
          </w:tcPr>
          <w:p w14:paraId="0E69E0ED"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1 bedroom</w:t>
            </w:r>
          </w:p>
        </w:tc>
        <w:tc>
          <w:tcPr>
            <w:tcW w:w="806" w:type="pct"/>
            <w:shd w:val="clear" w:color="auto" w:fill="auto"/>
            <w:noWrap/>
            <w:vAlign w:val="center"/>
            <w:hideMark/>
          </w:tcPr>
          <w:p w14:paraId="0EE694F4" w14:textId="08433D46" w:rsidR="008D4A14" w:rsidRPr="008D4A14" w:rsidRDefault="008D4A14" w:rsidP="008D4A14">
            <w:pPr>
              <w:spacing w:line="240" w:lineRule="auto"/>
              <w:jc w:val="both"/>
              <w:rPr>
                <w:rFonts w:cstheme="minorHAnsi"/>
                <w:sz w:val="18"/>
                <w:szCs w:val="18"/>
              </w:rPr>
            </w:pPr>
            <w:r w:rsidRPr="008D4A14">
              <w:rPr>
                <w:sz w:val="18"/>
                <w:szCs w:val="18"/>
              </w:rPr>
              <w:t>3,096</w:t>
            </w:r>
          </w:p>
        </w:tc>
        <w:tc>
          <w:tcPr>
            <w:tcW w:w="808" w:type="pct"/>
            <w:shd w:val="clear" w:color="auto" w:fill="auto"/>
            <w:noWrap/>
            <w:vAlign w:val="center"/>
          </w:tcPr>
          <w:p w14:paraId="3EED189A" w14:textId="067077E4" w:rsidR="008D4A14" w:rsidRPr="008D4A14" w:rsidRDefault="008D4A14" w:rsidP="008D4A14">
            <w:pPr>
              <w:spacing w:line="240" w:lineRule="auto"/>
              <w:jc w:val="both"/>
              <w:rPr>
                <w:rFonts w:cstheme="minorHAnsi"/>
                <w:sz w:val="18"/>
                <w:szCs w:val="18"/>
              </w:rPr>
            </w:pPr>
            <w:r w:rsidRPr="008D4A14">
              <w:rPr>
                <w:sz w:val="18"/>
                <w:szCs w:val="18"/>
              </w:rPr>
              <w:t>13.3%</w:t>
            </w:r>
          </w:p>
        </w:tc>
        <w:tc>
          <w:tcPr>
            <w:tcW w:w="806" w:type="pct"/>
            <w:shd w:val="clear" w:color="auto" w:fill="auto"/>
            <w:noWrap/>
            <w:vAlign w:val="center"/>
          </w:tcPr>
          <w:p w14:paraId="28D59C1F" w14:textId="4DAEE8DB" w:rsidR="008D4A14" w:rsidRPr="008D4A14" w:rsidRDefault="008D4A14" w:rsidP="008D4A14">
            <w:pPr>
              <w:spacing w:line="240" w:lineRule="auto"/>
              <w:jc w:val="both"/>
              <w:rPr>
                <w:rFonts w:cstheme="minorHAnsi"/>
                <w:sz w:val="18"/>
                <w:szCs w:val="18"/>
              </w:rPr>
            </w:pPr>
            <w:r w:rsidRPr="008D4A14">
              <w:rPr>
                <w:sz w:val="18"/>
                <w:szCs w:val="18"/>
              </w:rPr>
              <w:t>3,411</w:t>
            </w:r>
          </w:p>
        </w:tc>
        <w:tc>
          <w:tcPr>
            <w:tcW w:w="805" w:type="pct"/>
            <w:shd w:val="clear" w:color="auto" w:fill="auto"/>
            <w:noWrap/>
            <w:vAlign w:val="center"/>
          </w:tcPr>
          <w:p w14:paraId="25D31260" w14:textId="789D6E24" w:rsidR="008D4A14" w:rsidRPr="008D4A14" w:rsidRDefault="008D4A14" w:rsidP="008D4A14">
            <w:pPr>
              <w:spacing w:line="240" w:lineRule="auto"/>
              <w:jc w:val="both"/>
              <w:rPr>
                <w:rFonts w:cstheme="minorHAnsi"/>
                <w:sz w:val="18"/>
                <w:szCs w:val="18"/>
              </w:rPr>
            </w:pPr>
            <w:r w:rsidRPr="008D4A14">
              <w:rPr>
                <w:sz w:val="18"/>
                <w:szCs w:val="18"/>
              </w:rPr>
              <w:t>12.3%</w:t>
            </w:r>
          </w:p>
        </w:tc>
      </w:tr>
      <w:tr w:rsidR="008D4A14" w:rsidRPr="00374C95" w14:paraId="19F37453" w14:textId="77777777" w:rsidTr="008D4A14">
        <w:trPr>
          <w:trHeight w:val="288"/>
        </w:trPr>
        <w:tc>
          <w:tcPr>
            <w:tcW w:w="1776" w:type="pct"/>
            <w:shd w:val="clear" w:color="auto" w:fill="auto"/>
            <w:noWrap/>
            <w:vAlign w:val="center"/>
            <w:hideMark/>
          </w:tcPr>
          <w:p w14:paraId="7315165E"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2 bedrooms</w:t>
            </w:r>
          </w:p>
        </w:tc>
        <w:tc>
          <w:tcPr>
            <w:tcW w:w="806" w:type="pct"/>
            <w:shd w:val="clear" w:color="auto" w:fill="auto"/>
            <w:noWrap/>
            <w:vAlign w:val="center"/>
            <w:hideMark/>
          </w:tcPr>
          <w:p w14:paraId="0B080033" w14:textId="27909934" w:rsidR="008D4A14" w:rsidRPr="008D4A14" w:rsidRDefault="008D4A14" w:rsidP="008D4A14">
            <w:pPr>
              <w:spacing w:line="240" w:lineRule="auto"/>
              <w:jc w:val="both"/>
              <w:rPr>
                <w:rFonts w:cstheme="minorHAnsi"/>
                <w:sz w:val="18"/>
                <w:szCs w:val="18"/>
              </w:rPr>
            </w:pPr>
            <w:r w:rsidRPr="008D4A14">
              <w:rPr>
                <w:sz w:val="18"/>
                <w:szCs w:val="18"/>
              </w:rPr>
              <w:t>6,908</w:t>
            </w:r>
          </w:p>
        </w:tc>
        <w:tc>
          <w:tcPr>
            <w:tcW w:w="808" w:type="pct"/>
            <w:shd w:val="clear" w:color="auto" w:fill="auto"/>
            <w:noWrap/>
            <w:vAlign w:val="center"/>
          </w:tcPr>
          <w:p w14:paraId="4CFC554E" w14:textId="7858854E" w:rsidR="008D4A14" w:rsidRPr="008D4A14" w:rsidRDefault="008D4A14" w:rsidP="008D4A14">
            <w:pPr>
              <w:spacing w:line="240" w:lineRule="auto"/>
              <w:jc w:val="both"/>
              <w:rPr>
                <w:rFonts w:cstheme="minorHAnsi"/>
                <w:sz w:val="18"/>
                <w:szCs w:val="18"/>
              </w:rPr>
            </w:pPr>
            <w:r w:rsidRPr="008D4A14">
              <w:rPr>
                <w:sz w:val="18"/>
                <w:szCs w:val="18"/>
              </w:rPr>
              <w:t>29.6%</w:t>
            </w:r>
          </w:p>
        </w:tc>
        <w:tc>
          <w:tcPr>
            <w:tcW w:w="806" w:type="pct"/>
            <w:shd w:val="clear" w:color="auto" w:fill="auto"/>
            <w:noWrap/>
            <w:vAlign w:val="center"/>
          </w:tcPr>
          <w:p w14:paraId="076174B2" w14:textId="2D167D79" w:rsidR="008D4A14" w:rsidRPr="008D4A14" w:rsidRDefault="008D4A14" w:rsidP="008D4A14">
            <w:pPr>
              <w:spacing w:line="240" w:lineRule="auto"/>
              <w:jc w:val="both"/>
              <w:rPr>
                <w:rFonts w:cstheme="minorHAnsi"/>
                <w:sz w:val="18"/>
                <w:szCs w:val="18"/>
              </w:rPr>
            </w:pPr>
            <w:r w:rsidRPr="008D4A14">
              <w:rPr>
                <w:sz w:val="18"/>
                <w:szCs w:val="18"/>
              </w:rPr>
              <w:t>8,423</w:t>
            </w:r>
          </w:p>
        </w:tc>
        <w:tc>
          <w:tcPr>
            <w:tcW w:w="805" w:type="pct"/>
            <w:shd w:val="clear" w:color="auto" w:fill="auto"/>
            <w:noWrap/>
            <w:vAlign w:val="center"/>
          </w:tcPr>
          <w:p w14:paraId="40C67E98" w14:textId="4E4469F6" w:rsidR="008D4A14" w:rsidRPr="008D4A14" w:rsidRDefault="008D4A14" w:rsidP="008D4A14">
            <w:pPr>
              <w:spacing w:line="240" w:lineRule="auto"/>
              <w:jc w:val="both"/>
              <w:rPr>
                <w:rFonts w:cstheme="minorHAnsi"/>
                <w:sz w:val="18"/>
                <w:szCs w:val="18"/>
              </w:rPr>
            </w:pPr>
            <w:r w:rsidRPr="008D4A14">
              <w:rPr>
                <w:sz w:val="18"/>
                <w:szCs w:val="18"/>
              </w:rPr>
              <w:t>30.5%</w:t>
            </w:r>
          </w:p>
        </w:tc>
      </w:tr>
      <w:tr w:rsidR="008D4A14" w:rsidRPr="00374C95" w14:paraId="1078240D" w14:textId="77777777" w:rsidTr="008D4A14">
        <w:trPr>
          <w:trHeight w:val="288"/>
        </w:trPr>
        <w:tc>
          <w:tcPr>
            <w:tcW w:w="1776" w:type="pct"/>
            <w:shd w:val="clear" w:color="auto" w:fill="auto"/>
            <w:noWrap/>
            <w:vAlign w:val="center"/>
            <w:hideMark/>
          </w:tcPr>
          <w:p w14:paraId="2BC2453B"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3 bedrooms</w:t>
            </w:r>
          </w:p>
        </w:tc>
        <w:tc>
          <w:tcPr>
            <w:tcW w:w="806" w:type="pct"/>
            <w:shd w:val="clear" w:color="auto" w:fill="auto"/>
            <w:noWrap/>
            <w:vAlign w:val="center"/>
            <w:hideMark/>
          </w:tcPr>
          <w:p w14:paraId="56E6C14C" w14:textId="27A104EA" w:rsidR="008D4A14" w:rsidRPr="008D4A14" w:rsidRDefault="008D4A14" w:rsidP="008D4A14">
            <w:pPr>
              <w:spacing w:line="240" w:lineRule="auto"/>
              <w:jc w:val="both"/>
              <w:rPr>
                <w:rFonts w:cstheme="minorHAnsi"/>
                <w:sz w:val="18"/>
                <w:szCs w:val="18"/>
              </w:rPr>
            </w:pPr>
            <w:r w:rsidRPr="008D4A14">
              <w:rPr>
                <w:sz w:val="18"/>
                <w:szCs w:val="18"/>
              </w:rPr>
              <w:t>9,252</w:t>
            </w:r>
          </w:p>
        </w:tc>
        <w:tc>
          <w:tcPr>
            <w:tcW w:w="808" w:type="pct"/>
            <w:shd w:val="clear" w:color="auto" w:fill="auto"/>
            <w:noWrap/>
            <w:vAlign w:val="center"/>
          </w:tcPr>
          <w:p w14:paraId="6D926AC8" w14:textId="0D61AE2B" w:rsidR="008D4A14" w:rsidRPr="008D4A14" w:rsidRDefault="008D4A14" w:rsidP="008D4A14">
            <w:pPr>
              <w:spacing w:line="240" w:lineRule="auto"/>
              <w:jc w:val="both"/>
              <w:rPr>
                <w:rFonts w:cstheme="minorHAnsi"/>
                <w:sz w:val="18"/>
                <w:szCs w:val="18"/>
              </w:rPr>
            </w:pPr>
            <w:r w:rsidRPr="008D4A14">
              <w:rPr>
                <w:sz w:val="18"/>
                <w:szCs w:val="18"/>
              </w:rPr>
              <w:t>39.6%</w:t>
            </w:r>
          </w:p>
        </w:tc>
        <w:tc>
          <w:tcPr>
            <w:tcW w:w="806" w:type="pct"/>
            <w:shd w:val="clear" w:color="auto" w:fill="auto"/>
            <w:noWrap/>
            <w:vAlign w:val="center"/>
          </w:tcPr>
          <w:p w14:paraId="25176342" w14:textId="3B094FFA" w:rsidR="008D4A14" w:rsidRPr="008D4A14" w:rsidRDefault="008D4A14" w:rsidP="008D4A14">
            <w:pPr>
              <w:spacing w:line="240" w:lineRule="auto"/>
              <w:jc w:val="both"/>
              <w:rPr>
                <w:rFonts w:cstheme="minorHAnsi"/>
                <w:sz w:val="18"/>
                <w:szCs w:val="18"/>
              </w:rPr>
            </w:pPr>
            <w:r w:rsidRPr="008D4A14">
              <w:rPr>
                <w:sz w:val="18"/>
                <w:szCs w:val="18"/>
              </w:rPr>
              <w:t>11,333</w:t>
            </w:r>
          </w:p>
        </w:tc>
        <w:tc>
          <w:tcPr>
            <w:tcW w:w="805" w:type="pct"/>
            <w:shd w:val="clear" w:color="auto" w:fill="auto"/>
            <w:noWrap/>
            <w:vAlign w:val="center"/>
          </w:tcPr>
          <w:p w14:paraId="0D47A456" w14:textId="1E42C3D4" w:rsidR="008D4A14" w:rsidRPr="008D4A14" w:rsidRDefault="008D4A14" w:rsidP="008D4A14">
            <w:pPr>
              <w:spacing w:line="240" w:lineRule="auto"/>
              <w:jc w:val="both"/>
              <w:rPr>
                <w:rFonts w:cstheme="minorHAnsi"/>
                <w:sz w:val="18"/>
                <w:szCs w:val="18"/>
              </w:rPr>
            </w:pPr>
            <w:r w:rsidRPr="008D4A14">
              <w:rPr>
                <w:sz w:val="18"/>
                <w:szCs w:val="18"/>
              </w:rPr>
              <w:t>41.0%</w:t>
            </w:r>
          </w:p>
        </w:tc>
      </w:tr>
      <w:tr w:rsidR="008D4A14" w:rsidRPr="00374C95" w14:paraId="71A5E677" w14:textId="77777777" w:rsidTr="008D4A14">
        <w:trPr>
          <w:trHeight w:val="288"/>
        </w:trPr>
        <w:tc>
          <w:tcPr>
            <w:tcW w:w="1776" w:type="pct"/>
            <w:shd w:val="clear" w:color="auto" w:fill="auto"/>
            <w:noWrap/>
            <w:vAlign w:val="center"/>
            <w:hideMark/>
          </w:tcPr>
          <w:p w14:paraId="6C0BD206"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4 bedrooms</w:t>
            </w:r>
          </w:p>
        </w:tc>
        <w:tc>
          <w:tcPr>
            <w:tcW w:w="806" w:type="pct"/>
            <w:shd w:val="clear" w:color="auto" w:fill="auto"/>
            <w:noWrap/>
            <w:vAlign w:val="center"/>
            <w:hideMark/>
          </w:tcPr>
          <w:p w14:paraId="1C851F13" w14:textId="1FFD497B" w:rsidR="008D4A14" w:rsidRPr="008D4A14" w:rsidRDefault="008D4A14" w:rsidP="008D4A14">
            <w:pPr>
              <w:spacing w:line="240" w:lineRule="auto"/>
              <w:jc w:val="both"/>
              <w:rPr>
                <w:rFonts w:cstheme="minorHAnsi"/>
                <w:sz w:val="18"/>
                <w:szCs w:val="18"/>
              </w:rPr>
            </w:pPr>
            <w:r w:rsidRPr="008D4A14">
              <w:rPr>
                <w:sz w:val="18"/>
                <w:szCs w:val="18"/>
              </w:rPr>
              <w:t>3,167</w:t>
            </w:r>
          </w:p>
        </w:tc>
        <w:tc>
          <w:tcPr>
            <w:tcW w:w="808" w:type="pct"/>
            <w:shd w:val="clear" w:color="auto" w:fill="auto"/>
            <w:noWrap/>
            <w:vAlign w:val="center"/>
          </w:tcPr>
          <w:p w14:paraId="3A05EF26" w14:textId="27C47D7C" w:rsidR="008D4A14" w:rsidRPr="008D4A14" w:rsidRDefault="008D4A14" w:rsidP="008D4A14">
            <w:pPr>
              <w:spacing w:line="240" w:lineRule="auto"/>
              <w:jc w:val="both"/>
              <w:rPr>
                <w:rFonts w:cstheme="minorHAnsi"/>
                <w:sz w:val="18"/>
                <w:szCs w:val="18"/>
              </w:rPr>
            </w:pPr>
            <w:r w:rsidRPr="008D4A14">
              <w:rPr>
                <w:sz w:val="18"/>
                <w:szCs w:val="18"/>
              </w:rPr>
              <w:t>13.6%</w:t>
            </w:r>
          </w:p>
        </w:tc>
        <w:tc>
          <w:tcPr>
            <w:tcW w:w="806" w:type="pct"/>
            <w:shd w:val="clear" w:color="auto" w:fill="auto"/>
            <w:noWrap/>
            <w:vAlign w:val="center"/>
          </w:tcPr>
          <w:p w14:paraId="10B45714" w14:textId="2B889C22" w:rsidR="008D4A14" w:rsidRPr="008D4A14" w:rsidRDefault="008D4A14" w:rsidP="008D4A14">
            <w:pPr>
              <w:spacing w:line="240" w:lineRule="auto"/>
              <w:jc w:val="both"/>
              <w:rPr>
                <w:rFonts w:cstheme="minorHAnsi"/>
                <w:sz w:val="18"/>
                <w:szCs w:val="18"/>
              </w:rPr>
            </w:pPr>
            <w:r w:rsidRPr="008D4A14">
              <w:rPr>
                <w:sz w:val="18"/>
                <w:szCs w:val="18"/>
              </w:rPr>
              <w:t>3,555</w:t>
            </w:r>
          </w:p>
        </w:tc>
        <w:tc>
          <w:tcPr>
            <w:tcW w:w="805" w:type="pct"/>
            <w:shd w:val="clear" w:color="auto" w:fill="auto"/>
            <w:noWrap/>
            <w:vAlign w:val="center"/>
          </w:tcPr>
          <w:p w14:paraId="717D5EAC" w14:textId="02E329CD" w:rsidR="008D4A14" w:rsidRPr="008D4A14" w:rsidRDefault="008D4A14" w:rsidP="008D4A14">
            <w:pPr>
              <w:spacing w:line="240" w:lineRule="auto"/>
              <w:jc w:val="both"/>
              <w:rPr>
                <w:rFonts w:cstheme="minorHAnsi"/>
                <w:sz w:val="18"/>
                <w:szCs w:val="18"/>
              </w:rPr>
            </w:pPr>
            <w:r w:rsidRPr="008D4A14">
              <w:rPr>
                <w:sz w:val="18"/>
                <w:szCs w:val="18"/>
              </w:rPr>
              <w:t>12.9%</w:t>
            </w:r>
          </w:p>
        </w:tc>
      </w:tr>
      <w:tr w:rsidR="008D4A14" w:rsidRPr="00374C95" w14:paraId="6BAF8FDA" w14:textId="77777777" w:rsidTr="008D4A14">
        <w:trPr>
          <w:trHeight w:val="288"/>
        </w:trPr>
        <w:tc>
          <w:tcPr>
            <w:tcW w:w="1776" w:type="pct"/>
            <w:shd w:val="clear" w:color="auto" w:fill="auto"/>
            <w:noWrap/>
            <w:vAlign w:val="center"/>
            <w:hideMark/>
          </w:tcPr>
          <w:p w14:paraId="04875859"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5 or more bedrooms</w:t>
            </w:r>
          </w:p>
        </w:tc>
        <w:tc>
          <w:tcPr>
            <w:tcW w:w="806" w:type="pct"/>
            <w:shd w:val="clear" w:color="auto" w:fill="auto"/>
            <w:noWrap/>
            <w:vAlign w:val="center"/>
            <w:hideMark/>
          </w:tcPr>
          <w:p w14:paraId="5754FE36" w14:textId="7EFA4F1C" w:rsidR="008D4A14" w:rsidRPr="008D4A14" w:rsidRDefault="008D4A14" w:rsidP="008D4A14">
            <w:pPr>
              <w:spacing w:line="240" w:lineRule="auto"/>
              <w:jc w:val="both"/>
              <w:rPr>
                <w:rFonts w:cstheme="minorHAnsi"/>
                <w:sz w:val="18"/>
                <w:szCs w:val="18"/>
              </w:rPr>
            </w:pPr>
            <w:r w:rsidRPr="008D4A14">
              <w:rPr>
                <w:sz w:val="18"/>
                <w:szCs w:val="18"/>
              </w:rPr>
              <w:t>885</w:t>
            </w:r>
          </w:p>
        </w:tc>
        <w:tc>
          <w:tcPr>
            <w:tcW w:w="808" w:type="pct"/>
            <w:shd w:val="clear" w:color="auto" w:fill="auto"/>
            <w:noWrap/>
            <w:vAlign w:val="center"/>
          </w:tcPr>
          <w:p w14:paraId="72A93A13" w14:textId="6B84FDEF" w:rsidR="008D4A14" w:rsidRPr="008D4A14" w:rsidRDefault="008D4A14" w:rsidP="008D4A14">
            <w:pPr>
              <w:spacing w:line="240" w:lineRule="auto"/>
              <w:jc w:val="both"/>
              <w:rPr>
                <w:rFonts w:cstheme="minorHAnsi"/>
                <w:sz w:val="18"/>
                <w:szCs w:val="18"/>
              </w:rPr>
            </w:pPr>
            <w:r w:rsidRPr="008D4A14">
              <w:rPr>
                <w:sz w:val="18"/>
                <w:szCs w:val="18"/>
              </w:rPr>
              <w:t>3.8%</w:t>
            </w:r>
          </w:p>
        </w:tc>
        <w:tc>
          <w:tcPr>
            <w:tcW w:w="806" w:type="pct"/>
            <w:shd w:val="clear" w:color="auto" w:fill="auto"/>
            <w:noWrap/>
            <w:vAlign w:val="center"/>
          </w:tcPr>
          <w:p w14:paraId="6125F0A6" w14:textId="145D3A66" w:rsidR="008D4A14" w:rsidRPr="008D4A14" w:rsidRDefault="008D4A14" w:rsidP="008D4A14">
            <w:pPr>
              <w:spacing w:line="240" w:lineRule="auto"/>
              <w:jc w:val="both"/>
              <w:rPr>
                <w:rFonts w:cstheme="minorHAnsi"/>
                <w:sz w:val="18"/>
                <w:szCs w:val="18"/>
              </w:rPr>
            </w:pPr>
            <w:r w:rsidRPr="008D4A14">
              <w:rPr>
                <w:sz w:val="18"/>
                <w:szCs w:val="18"/>
              </w:rPr>
              <w:t>908</w:t>
            </w:r>
          </w:p>
        </w:tc>
        <w:tc>
          <w:tcPr>
            <w:tcW w:w="805" w:type="pct"/>
            <w:shd w:val="clear" w:color="auto" w:fill="auto"/>
            <w:noWrap/>
            <w:vAlign w:val="center"/>
          </w:tcPr>
          <w:p w14:paraId="078DF2FD" w14:textId="343C579F" w:rsidR="008D4A14" w:rsidRPr="008D4A14" w:rsidRDefault="008D4A14" w:rsidP="008D4A14">
            <w:pPr>
              <w:spacing w:line="240" w:lineRule="auto"/>
              <w:jc w:val="both"/>
              <w:rPr>
                <w:rFonts w:cstheme="minorHAnsi"/>
                <w:sz w:val="18"/>
                <w:szCs w:val="18"/>
              </w:rPr>
            </w:pPr>
            <w:r w:rsidRPr="008D4A14">
              <w:rPr>
                <w:sz w:val="18"/>
                <w:szCs w:val="18"/>
              </w:rPr>
              <w:t>3.3%</w:t>
            </w:r>
          </w:p>
        </w:tc>
      </w:tr>
      <w:tr w:rsidR="008D4A14" w:rsidRPr="00374C95" w14:paraId="633059BC" w14:textId="77777777" w:rsidTr="008D4A14">
        <w:trPr>
          <w:trHeight w:val="288"/>
        </w:trPr>
        <w:tc>
          <w:tcPr>
            <w:tcW w:w="1776" w:type="pct"/>
            <w:shd w:val="clear" w:color="auto" w:fill="auto"/>
            <w:noWrap/>
            <w:vAlign w:val="center"/>
            <w:hideMark/>
          </w:tcPr>
          <w:p w14:paraId="492E8406"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Total households</w:t>
            </w:r>
          </w:p>
        </w:tc>
        <w:tc>
          <w:tcPr>
            <w:tcW w:w="806" w:type="pct"/>
            <w:shd w:val="clear" w:color="auto" w:fill="auto"/>
            <w:noWrap/>
            <w:vAlign w:val="center"/>
            <w:hideMark/>
          </w:tcPr>
          <w:p w14:paraId="188BAE54" w14:textId="5ECC0FA1" w:rsidR="008D4A14" w:rsidRPr="008D4A14" w:rsidRDefault="008D4A14" w:rsidP="008D4A14">
            <w:pPr>
              <w:spacing w:line="240" w:lineRule="auto"/>
              <w:jc w:val="both"/>
              <w:rPr>
                <w:rFonts w:cstheme="minorHAnsi"/>
                <w:b/>
                <w:sz w:val="18"/>
                <w:szCs w:val="18"/>
              </w:rPr>
            </w:pPr>
            <w:r w:rsidRPr="008D4A14">
              <w:rPr>
                <w:b/>
                <w:bCs/>
                <w:sz w:val="18"/>
                <w:szCs w:val="18"/>
              </w:rPr>
              <w:t>23,360</w:t>
            </w:r>
          </w:p>
        </w:tc>
        <w:tc>
          <w:tcPr>
            <w:tcW w:w="808" w:type="pct"/>
            <w:shd w:val="clear" w:color="auto" w:fill="auto"/>
            <w:noWrap/>
            <w:vAlign w:val="center"/>
            <w:hideMark/>
          </w:tcPr>
          <w:p w14:paraId="41AB7F51" w14:textId="3C509148" w:rsidR="008D4A14" w:rsidRPr="008D4A14" w:rsidRDefault="008D4A14" w:rsidP="008D4A14">
            <w:pPr>
              <w:spacing w:line="240" w:lineRule="auto"/>
              <w:jc w:val="both"/>
              <w:rPr>
                <w:rFonts w:cstheme="minorHAnsi"/>
                <w:b/>
                <w:sz w:val="18"/>
                <w:szCs w:val="18"/>
              </w:rPr>
            </w:pPr>
            <w:r w:rsidRPr="008D4A14">
              <w:rPr>
                <w:b/>
                <w:bCs/>
                <w:sz w:val="18"/>
                <w:szCs w:val="18"/>
              </w:rPr>
              <w:t>100.0%</w:t>
            </w:r>
          </w:p>
        </w:tc>
        <w:tc>
          <w:tcPr>
            <w:tcW w:w="806" w:type="pct"/>
            <w:shd w:val="clear" w:color="auto" w:fill="auto"/>
            <w:noWrap/>
            <w:vAlign w:val="center"/>
          </w:tcPr>
          <w:p w14:paraId="6B40261B" w14:textId="78FF872E" w:rsidR="008D4A14" w:rsidRPr="008D4A14" w:rsidRDefault="008D4A14" w:rsidP="008D4A14">
            <w:pPr>
              <w:spacing w:line="240" w:lineRule="auto"/>
              <w:jc w:val="both"/>
              <w:rPr>
                <w:rFonts w:cstheme="minorHAnsi"/>
                <w:b/>
                <w:sz w:val="18"/>
                <w:szCs w:val="18"/>
              </w:rPr>
            </w:pPr>
            <w:r w:rsidRPr="008D4A14">
              <w:rPr>
                <w:b/>
                <w:bCs/>
                <w:sz w:val="18"/>
                <w:szCs w:val="18"/>
              </w:rPr>
              <w:t>27,630</w:t>
            </w:r>
          </w:p>
        </w:tc>
        <w:tc>
          <w:tcPr>
            <w:tcW w:w="805" w:type="pct"/>
            <w:shd w:val="clear" w:color="auto" w:fill="auto"/>
            <w:noWrap/>
            <w:vAlign w:val="center"/>
            <w:hideMark/>
          </w:tcPr>
          <w:p w14:paraId="1702D84A" w14:textId="41C7E135" w:rsidR="008D4A14" w:rsidRPr="008D4A14" w:rsidRDefault="008D4A14" w:rsidP="008D4A14">
            <w:pPr>
              <w:spacing w:line="240" w:lineRule="auto"/>
              <w:jc w:val="both"/>
              <w:rPr>
                <w:rFonts w:cstheme="minorHAnsi"/>
                <w:b/>
                <w:sz w:val="18"/>
                <w:szCs w:val="18"/>
              </w:rPr>
            </w:pPr>
            <w:r w:rsidRPr="008D4A14">
              <w:rPr>
                <w:b/>
                <w:bCs/>
                <w:sz w:val="18"/>
                <w:szCs w:val="18"/>
              </w:rPr>
              <w:t>100.0%</w:t>
            </w:r>
          </w:p>
        </w:tc>
      </w:tr>
    </w:tbl>
    <w:p w14:paraId="50EF6CBE" w14:textId="77777777" w:rsidR="002C2D5C" w:rsidRPr="00374C95" w:rsidRDefault="002C2D5C" w:rsidP="002C2D5C">
      <w:pPr>
        <w:pStyle w:val="Source"/>
        <w:jc w:val="both"/>
        <w:rPr>
          <w:sz w:val="18"/>
          <w:szCs w:val="18"/>
          <w:lang w:val="en-GB"/>
        </w:rPr>
      </w:pPr>
      <w:r w:rsidRPr="00374C95">
        <w:rPr>
          <w:sz w:val="18"/>
          <w:szCs w:val="18"/>
          <w:lang w:val="en-GB"/>
        </w:rPr>
        <w:t>Source: Census 2011, AECOM Calculations</w:t>
      </w:r>
    </w:p>
    <w:p w14:paraId="0C2BA100" w14:textId="09751DEF" w:rsidR="002C2D5C" w:rsidRPr="008A29FC" w:rsidRDefault="002C2D5C" w:rsidP="00A82210">
      <w:pPr>
        <w:pStyle w:val="ListNumber"/>
        <w:rPr>
          <w:rFonts w:asciiTheme="majorHAnsi" w:hAnsiTheme="majorHAnsi"/>
          <w:b/>
          <w:bCs/>
          <w:color w:val="00B5E2" w:themeColor="accent1"/>
        </w:rPr>
      </w:pPr>
      <w:r w:rsidRPr="00AC0E8A">
        <w:fldChar w:fldCharType="begin"/>
      </w:r>
      <w:r w:rsidRPr="00AC0E8A">
        <w:instrText xml:space="preserve"> REF _Ref2614062 \h  \* MERGEFORMAT </w:instrText>
      </w:r>
      <w:r w:rsidRPr="00AC0E8A">
        <w:fldChar w:fldCharType="separate"/>
      </w:r>
      <w:r w:rsidR="00603781" w:rsidRPr="002D4F56">
        <w:t xml:space="preserve">Table </w:t>
      </w:r>
      <w:r w:rsidR="00603781">
        <w:rPr>
          <w:noProof/>
        </w:rPr>
        <w:t>5</w:t>
      </w:r>
      <w:r w:rsidR="00603781">
        <w:rPr>
          <w:noProof/>
        </w:rPr>
        <w:noBreakHyphen/>
        <w:t>14</w:t>
      </w:r>
      <w:r w:rsidRPr="00AC0E8A">
        <w:fldChar w:fldCharType="end"/>
      </w:r>
      <w:r w:rsidRPr="00AC0E8A">
        <w:t xml:space="preserve"> below sets out the </w:t>
      </w:r>
      <w:r w:rsidR="008A29FC">
        <w:t xml:space="preserve">estimated </w:t>
      </w:r>
      <w:r w:rsidRPr="00AC0E8A">
        <w:t xml:space="preserve">misalignment between </w:t>
      </w:r>
      <w:r w:rsidR="008A29FC">
        <w:t xml:space="preserve">future </w:t>
      </w:r>
      <w:r w:rsidRPr="00AC0E8A">
        <w:t xml:space="preserve">demand for housing, based </w:t>
      </w:r>
      <w:r w:rsidR="008A29FC">
        <w:t xml:space="preserve">on the modelled preferences of </w:t>
      </w:r>
      <w:r w:rsidRPr="00AC0E8A">
        <w:t xml:space="preserve">households at different life-stages, and the current stock </w:t>
      </w:r>
      <w:r w:rsidR="008A29FC">
        <w:t xml:space="preserve">available </w:t>
      </w:r>
      <w:r w:rsidRPr="00AC0E8A">
        <w:t xml:space="preserve">in </w:t>
      </w:r>
      <w:r w:rsidR="005F50BC">
        <w:t xml:space="preserve">the </w:t>
      </w:r>
      <w:r w:rsidR="00703761">
        <w:rPr>
          <w:lang w:val="en-GB"/>
        </w:rPr>
        <w:t>Neighbourhood</w:t>
      </w:r>
      <w:r w:rsidR="00703761">
        <w:t xml:space="preserve"> </w:t>
      </w:r>
      <w:r w:rsidR="005F50BC">
        <w:t>Plan area</w:t>
      </w:r>
      <w:r w:rsidRPr="00AC0E8A">
        <w:t>.</w:t>
      </w:r>
      <w:bookmarkStart w:id="176" w:name="_Ref526087252"/>
      <w:r w:rsidR="00A97C82">
        <w:t xml:space="preserve"> This comparison of the ideal distribution with the current stock available, shows what will need to be built in Weymouth over the plan period to adjust the mix</w:t>
      </w:r>
      <w:r w:rsidR="00FA1B07">
        <w:t xml:space="preserve"> towards what is </w:t>
      </w:r>
      <w:r w:rsidR="00F05364">
        <w:t xml:space="preserve">likely to be </w:t>
      </w:r>
      <w:r w:rsidR="00FA1B07">
        <w:t xml:space="preserve">needed. </w:t>
      </w:r>
    </w:p>
    <w:p w14:paraId="00CC26AA" w14:textId="5DF74962" w:rsidR="002C2D5C" w:rsidRPr="002D4F56" w:rsidRDefault="002C2D5C" w:rsidP="002C2D5C">
      <w:pPr>
        <w:pStyle w:val="Caption"/>
        <w:jc w:val="both"/>
        <w:rPr>
          <w:sz w:val="18"/>
          <w:szCs w:val="18"/>
        </w:rPr>
      </w:pPr>
      <w:bookmarkStart w:id="177" w:name="_Ref2614062"/>
      <w:bookmarkStart w:id="178" w:name="_Ref7861551"/>
      <w:bookmarkEnd w:id="176"/>
      <w:r w:rsidRPr="002D4F56">
        <w:rPr>
          <w:sz w:val="18"/>
          <w:szCs w:val="18"/>
        </w:rPr>
        <w:t xml:space="preserve">Table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BA4C32">
        <w:rPr>
          <w:noProof/>
          <w:sz w:val="18"/>
          <w:szCs w:val="18"/>
        </w:rPr>
        <w:t>5</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BA4C32">
        <w:rPr>
          <w:noProof/>
          <w:sz w:val="18"/>
          <w:szCs w:val="18"/>
        </w:rPr>
        <w:t>14</w:t>
      </w:r>
      <w:r w:rsidR="00BA4C32">
        <w:rPr>
          <w:sz w:val="18"/>
          <w:szCs w:val="18"/>
        </w:rPr>
        <w:fldChar w:fldCharType="end"/>
      </w:r>
      <w:bookmarkEnd w:id="177"/>
      <w:r w:rsidR="002D4F56">
        <w:rPr>
          <w:sz w:val="18"/>
          <w:szCs w:val="18"/>
        </w:rPr>
        <w:t>: Future potential m</w:t>
      </w:r>
      <w:r w:rsidRPr="002D4F56">
        <w:rPr>
          <w:sz w:val="18"/>
          <w:szCs w:val="18"/>
        </w:rPr>
        <w:t>isalignments of supply and demand for housing</w:t>
      </w:r>
      <w:bookmarkEnd w:id="178"/>
      <w:r w:rsidR="002D4F56">
        <w:rPr>
          <w:sz w:val="18"/>
          <w:szCs w:val="18"/>
        </w:rPr>
        <w:t xml:space="preserve">, </w:t>
      </w:r>
      <w:r w:rsidR="0015105E">
        <w:rPr>
          <w:sz w:val="18"/>
          <w:szCs w:val="18"/>
        </w:rPr>
        <w:t>Weymouth</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1860"/>
        <w:gridCol w:w="1860"/>
        <w:gridCol w:w="1860"/>
        <w:gridCol w:w="1860"/>
      </w:tblGrid>
      <w:tr w:rsidR="008D4A14" w:rsidRPr="008D4A14" w14:paraId="044FDC00" w14:textId="77777777" w:rsidTr="00C378B2">
        <w:trPr>
          <w:trHeight w:val="288"/>
        </w:trPr>
        <w:tc>
          <w:tcPr>
            <w:tcW w:w="1048" w:type="pct"/>
            <w:shd w:val="clear" w:color="auto" w:fill="000000" w:themeFill="text1"/>
            <w:noWrap/>
            <w:vAlign w:val="center"/>
          </w:tcPr>
          <w:p w14:paraId="32F3FAEF" w14:textId="77777777" w:rsidR="008D4A14" w:rsidRPr="008D4A14" w:rsidRDefault="008D4A14" w:rsidP="00832DE0">
            <w:pPr>
              <w:spacing w:line="240" w:lineRule="auto"/>
              <w:rPr>
                <w:rFonts w:cstheme="minorHAnsi"/>
                <w:b/>
                <w:color w:val="FFFFFF" w:themeColor="background2"/>
                <w:sz w:val="18"/>
                <w:szCs w:val="18"/>
              </w:rPr>
            </w:pPr>
            <w:r w:rsidRPr="008D4A14">
              <w:rPr>
                <w:rFonts w:cstheme="minorHAnsi"/>
                <w:b/>
                <w:color w:val="FFFFFF" w:themeColor="background2"/>
                <w:sz w:val="18"/>
                <w:szCs w:val="18"/>
              </w:rPr>
              <w:t>Number of bedrooms</w:t>
            </w:r>
          </w:p>
        </w:tc>
        <w:tc>
          <w:tcPr>
            <w:tcW w:w="988" w:type="pct"/>
            <w:shd w:val="clear" w:color="auto" w:fill="000000" w:themeFill="text1"/>
            <w:noWrap/>
            <w:vAlign w:val="center"/>
          </w:tcPr>
          <w:p w14:paraId="54EE7EFC" w14:textId="0C384423" w:rsidR="008D4A14" w:rsidRPr="008D4A14" w:rsidRDefault="008D4A14" w:rsidP="008D4A14">
            <w:pPr>
              <w:spacing w:line="240" w:lineRule="auto"/>
              <w:jc w:val="both"/>
              <w:rPr>
                <w:rFonts w:cstheme="minorHAnsi"/>
                <w:b/>
                <w:color w:val="FFFFFF" w:themeColor="background2"/>
                <w:sz w:val="18"/>
                <w:szCs w:val="18"/>
              </w:rPr>
            </w:pPr>
            <w:r w:rsidRPr="008D4A14">
              <w:rPr>
                <w:b/>
                <w:bCs/>
                <w:color w:val="FFFFFF"/>
                <w:sz w:val="18"/>
                <w:szCs w:val="18"/>
              </w:rPr>
              <w:t>2011</w:t>
            </w:r>
          </w:p>
        </w:tc>
        <w:tc>
          <w:tcPr>
            <w:tcW w:w="988" w:type="pct"/>
            <w:shd w:val="clear" w:color="auto" w:fill="000000" w:themeFill="text1"/>
            <w:noWrap/>
            <w:vAlign w:val="center"/>
          </w:tcPr>
          <w:p w14:paraId="5C8A7EEC" w14:textId="778AA71E" w:rsidR="008D4A14" w:rsidRPr="008D4A14" w:rsidRDefault="008D4A14" w:rsidP="008D4A14">
            <w:pPr>
              <w:spacing w:line="240" w:lineRule="auto"/>
              <w:jc w:val="both"/>
              <w:rPr>
                <w:rFonts w:cstheme="minorHAnsi"/>
                <w:b/>
                <w:color w:val="FFFFFF" w:themeColor="background2"/>
                <w:sz w:val="18"/>
                <w:szCs w:val="18"/>
              </w:rPr>
            </w:pPr>
            <w:r w:rsidRPr="008D4A14">
              <w:rPr>
                <w:b/>
                <w:bCs/>
                <w:color w:val="FFFFFF"/>
                <w:sz w:val="18"/>
                <w:szCs w:val="18"/>
              </w:rPr>
              <w:t>2038</w:t>
            </w:r>
          </w:p>
        </w:tc>
        <w:tc>
          <w:tcPr>
            <w:tcW w:w="988" w:type="pct"/>
            <w:shd w:val="clear" w:color="auto" w:fill="000000" w:themeFill="text1"/>
            <w:noWrap/>
            <w:vAlign w:val="center"/>
          </w:tcPr>
          <w:p w14:paraId="4833FF26" w14:textId="76DDC31F" w:rsidR="008D4A14" w:rsidRPr="008D4A14" w:rsidRDefault="008D4A14" w:rsidP="008D4A14">
            <w:pPr>
              <w:spacing w:line="240" w:lineRule="auto"/>
              <w:jc w:val="both"/>
              <w:rPr>
                <w:rFonts w:cstheme="minorHAnsi"/>
                <w:b/>
                <w:color w:val="FFFFFF" w:themeColor="background2"/>
                <w:sz w:val="18"/>
                <w:szCs w:val="18"/>
              </w:rPr>
            </w:pPr>
            <w:r w:rsidRPr="008D4A14">
              <w:rPr>
                <w:b/>
                <w:bCs/>
                <w:color w:val="FFFFFF"/>
                <w:sz w:val="18"/>
                <w:szCs w:val="18"/>
              </w:rPr>
              <w:t>Change to housing mix</w:t>
            </w:r>
          </w:p>
        </w:tc>
        <w:tc>
          <w:tcPr>
            <w:tcW w:w="988" w:type="pct"/>
            <w:shd w:val="clear" w:color="auto" w:fill="000000" w:themeFill="text1"/>
            <w:noWrap/>
            <w:vAlign w:val="center"/>
          </w:tcPr>
          <w:p w14:paraId="0DD01F5D" w14:textId="11410CA2" w:rsidR="008D4A14" w:rsidRPr="008D4A14" w:rsidRDefault="008D4A14" w:rsidP="008D4A14">
            <w:pPr>
              <w:spacing w:line="240" w:lineRule="auto"/>
              <w:jc w:val="both"/>
              <w:rPr>
                <w:rFonts w:cstheme="minorHAnsi"/>
                <w:b/>
                <w:color w:val="FFFFFF" w:themeColor="background2"/>
                <w:sz w:val="18"/>
                <w:szCs w:val="18"/>
              </w:rPr>
            </w:pPr>
            <w:r w:rsidRPr="008D4A14">
              <w:rPr>
                <w:b/>
                <w:bCs/>
                <w:color w:val="FFFFFF"/>
                <w:sz w:val="18"/>
                <w:szCs w:val="18"/>
              </w:rPr>
              <w:t>Recommended split</w:t>
            </w:r>
          </w:p>
        </w:tc>
      </w:tr>
      <w:tr w:rsidR="008D4A14" w:rsidRPr="008D4A14" w14:paraId="296B2B3E" w14:textId="77777777" w:rsidTr="00FA1B07">
        <w:trPr>
          <w:trHeight w:val="288"/>
        </w:trPr>
        <w:tc>
          <w:tcPr>
            <w:tcW w:w="1048" w:type="pct"/>
            <w:shd w:val="clear" w:color="auto" w:fill="auto"/>
            <w:noWrap/>
            <w:vAlign w:val="center"/>
            <w:hideMark/>
          </w:tcPr>
          <w:p w14:paraId="06B79BBC"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1 bedroom</w:t>
            </w:r>
          </w:p>
        </w:tc>
        <w:tc>
          <w:tcPr>
            <w:tcW w:w="988" w:type="pct"/>
            <w:shd w:val="clear" w:color="auto" w:fill="auto"/>
            <w:noWrap/>
            <w:vAlign w:val="center"/>
            <w:hideMark/>
          </w:tcPr>
          <w:p w14:paraId="4CDE2375" w14:textId="5B59DA05" w:rsidR="008D4A14" w:rsidRPr="008D4A14" w:rsidRDefault="008D4A14" w:rsidP="008D4A14">
            <w:pPr>
              <w:spacing w:line="240" w:lineRule="auto"/>
              <w:jc w:val="both"/>
              <w:rPr>
                <w:rFonts w:cstheme="minorHAnsi"/>
                <w:sz w:val="18"/>
                <w:szCs w:val="18"/>
              </w:rPr>
            </w:pPr>
            <w:r w:rsidRPr="008D4A14">
              <w:rPr>
                <w:sz w:val="18"/>
                <w:szCs w:val="18"/>
              </w:rPr>
              <w:t>3,096</w:t>
            </w:r>
          </w:p>
        </w:tc>
        <w:tc>
          <w:tcPr>
            <w:tcW w:w="988" w:type="pct"/>
            <w:shd w:val="clear" w:color="auto" w:fill="auto"/>
            <w:noWrap/>
            <w:vAlign w:val="center"/>
            <w:hideMark/>
          </w:tcPr>
          <w:p w14:paraId="01032722" w14:textId="2D8C2CB1" w:rsidR="008D4A14" w:rsidRPr="008D4A14" w:rsidRDefault="008D4A14" w:rsidP="008D4A14">
            <w:pPr>
              <w:spacing w:line="240" w:lineRule="auto"/>
              <w:jc w:val="both"/>
              <w:rPr>
                <w:rFonts w:cstheme="minorHAnsi"/>
                <w:sz w:val="18"/>
                <w:szCs w:val="18"/>
              </w:rPr>
            </w:pPr>
            <w:r w:rsidRPr="008D4A14">
              <w:rPr>
                <w:sz w:val="18"/>
                <w:szCs w:val="18"/>
              </w:rPr>
              <w:t>3,411</w:t>
            </w:r>
          </w:p>
        </w:tc>
        <w:tc>
          <w:tcPr>
            <w:tcW w:w="988" w:type="pct"/>
            <w:shd w:val="clear" w:color="auto" w:fill="auto"/>
            <w:noWrap/>
            <w:vAlign w:val="center"/>
            <w:hideMark/>
          </w:tcPr>
          <w:p w14:paraId="7100FED8" w14:textId="18CFF658" w:rsidR="008D4A14" w:rsidRPr="008D4A14" w:rsidRDefault="008D4A14" w:rsidP="008D4A14">
            <w:pPr>
              <w:spacing w:line="240" w:lineRule="auto"/>
              <w:jc w:val="both"/>
              <w:rPr>
                <w:rFonts w:cstheme="minorHAnsi"/>
                <w:sz w:val="18"/>
                <w:szCs w:val="18"/>
              </w:rPr>
            </w:pPr>
            <w:r w:rsidRPr="008D4A14">
              <w:rPr>
                <w:sz w:val="18"/>
                <w:szCs w:val="18"/>
              </w:rPr>
              <w:t>315</w:t>
            </w:r>
          </w:p>
        </w:tc>
        <w:tc>
          <w:tcPr>
            <w:tcW w:w="988" w:type="pct"/>
            <w:shd w:val="clear" w:color="auto" w:fill="auto"/>
            <w:noWrap/>
            <w:vAlign w:val="center"/>
            <w:hideMark/>
          </w:tcPr>
          <w:p w14:paraId="4E3D86DA" w14:textId="7C5E917E" w:rsidR="008D4A14" w:rsidRPr="008D4A14" w:rsidRDefault="008D4A14" w:rsidP="008D4A14">
            <w:pPr>
              <w:spacing w:line="240" w:lineRule="auto"/>
              <w:jc w:val="both"/>
              <w:rPr>
                <w:rFonts w:cstheme="minorHAnsi"/>
                <w:sz w:val="18"/>
                <w:szCs w:val="18"/>
              </w:rPr>
            </w:pPr>
            <w:r w:rsidRPr="008D4A14">
              <w:rPr>
                <w:sz w:val="18"/>
                <w:szCs w:val="18"/>
              </w:rPr>
              <w:t>7.3%</w:t>
            </w:r>
          </w:p>
        </w:tc>
      </w:tr>
      <w:tr w:rsidR="008D4A14" w:rsidRPr="008D4A14" w14:paraId="00014411" w14:textId="77777777" w:rsidTr="00FA1B07">
        <w:trPr>
          <w:trHeight w:val="288"/>
        </w:trPr>
        <w:tc>
          <w:tcPr>
            <w:tcW w:w="1048" w:type="pct"/>
            <w:shd w:val="clear" w:color="auto" w:fill="auto"/>
            <w:noWrap/>
            <w:vAlign w:val="center"/>
            <w:hideMark/>
          </w:tcPr>
          <w:p w14:paraId="0F66BF65"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2 bedrooms</w:t>
            </w:r>
          </w:p>
        </w:tc>
        <w:tc>
          <w:tcPr>
            <w:tcW w:w="988" w:type="pct"/>
            <w:shd w:val="clear" w:color="auto" w:fill="auto"/>
            <w:noWrap/>
            <w:vAlign w:val="center"/>
            <w:hideMark/>
          </w:tcPr>
          <w:p w14:paraId="73C93F4F" w14:textId="600032BA" w:rsidR="008D4A14" w:rsidRPr="008D4A14" w:rsidRDefault="008D4A14" w:rsidP="008D4A14">
            <w:pPr>
              <w:spacing w:line="240" w:lineRule="auto"/>
              <w:jc w:val="both"/>
              <w:rPr>
                <w:rFonts w:cstheme="minorHAnsi"/>
                <w:sz w:val="18"/>
                <w:szCs w:val="18"/>
              </w:rPr>
            </w:pPr>
            <w:r w:rsidRPr="008D4A14">
              <w:rPr>
                <w:sz w:val="18"/>
                <w:szCs w:val="18"/>
              </w:rPr>
              <w:t>6,908</w:t>
            </w:r>
          </w:p>
        </w:tc>
        <w:tc>
          <w:tcPr>
            <w:tcW w:w="988" w:type="pct"/>
            <w:shd w:val="clear" w:color="auto" w:fill="auto"/>
            <w:noWrap/>
            <w:vAlign w:val="center"/>
            <w:hideMark/>
          </w:tcPr>
          <w:p w14:paraId="0A8EADB1" w14:textId="5C48CCF2" w:rsidR="008D4A14" w:rsidRPr="008D4A14" w:rsidRDefault="008D4A14" w:rsidP="008D4A14">
            <w:pPr>
              <w:spacing w:line="240" w:lineRule="auto"/>
              <w:jc w:val="both"/>
              <w:rPr>
                <w:rFonts w:cstheme="minorHAnsi"/>
                <w:sz w:val="18"/>
                <w:szCs w:val="18"/>
              </w:rPr>
            </w:pPr>
            <w:r w:rsidRPr="008D4A14">
              <w:rPr>
                <w:sz w:val="18"/>
                <w:szCs w:val="18"/>
              </w:rPr>
              <w:t>8,423</w:t>
            </w:r>
          </w:p>
        </w:tc>
        <w:tc>
          <w:tcPr>
            <w:tcW w:w="988" w:type="pct"/>
            <w:shd w:val="clear" w:color="auto" w:fill="auto"/>
            <w:noWrap/>
            <w:vAlign w:val="center"/>
            <w:hideMark/>
          </w:tcPr>
          <w:p w14:paraId="1EAA19AC" w14:textId="58E6E68B" w:rsidR="008D4A14" w:rsidRPr="008D4A14" w:rsidRDefault="008D4A14" w:rsidP="008D4A14">
            <w:pPr>
              <w:spacing w:line="240" w:lineRule="auto"/>
              <w:jc w:val="both"/>
              <w:rPr>
                <w:rFonts w:cstheme="minorHAnsi"/>
                <w:sz w:val="18"/>
                <w:szCs w:val="18"/>
              </w:rPr>
            </w:pPr>
            <w:r w:rsidRPr="008D4A14">
              <w:rPr>
                <w:sz w:val="18"/>
                <w:szCs w:val="18"/>
              </w:rPr>
              <w:t>1,515</w:t>
            </w:r>
          </w:p>
        </w:tc>
        <w:tc>
          <w:tcPr>
            <w:tcW w:w="988" w:type="pct"/>
            <w:shd w:val="clear" w:color="auto" w:fill="auto"/>
            <w:noWrap/>
            <w:vAlign w:val="center"/>
            <w:hideMark/>
          </w:tcPr>
          <w:p w14:paraId="7EA7A210" w14:textId="5654ABC2" w:rsidR="008D4A14" w:rsidRPr="008D4A14" w:rsidRDefault="008D4A14" w:rsidP="008D4A14">
            <w:pPr>
              <w:spacing w:line="240" w:lineRule="auto"/>
              <w:jc w:val="both"/>
              <w:rPr>
                <w:rFonts w:cstheme="minorHAnsi"/>
                <w:sz w:val="18"/>
                <w:szCs w:val="18"/>
              </w:rPr>
            </w:pPr>
            <w:r w:rsidRPr="008D4A14">
              <w:rPr>
                <w:sz w:val="18"/>
                <w:szCs w:val="18"/>
              </w:rPr>
              <w:t>35.0%</w:t>
            </w:r>
          </w:p>
        </w:tc>
      </w:tr>
      <w:tr w:rsidR="008D4A14" w:rsidRPr="008D4A14" w14:paraId="42F6498C" w14:textId="77777777" w:rsidTr="00FA1B07">
        <w:trPr>
          <w:trHeight w:val="288"/>
        </w:trPr>
        <w:tc>
          <w:tcPr>
            <w:tcW w:w="1048" w:type="pct"/>
            <w:shd w:val="clear" w:color="auto" w:fill="auto"/>
            <w:noWrap/>
            <w:vAlign w:val="center"/>
            <w:hideMark/>
          </w:tcPr>
          <w:p w14:paraId="4B9CE437"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3 bedrooms</w:t>
            </w:r>
          </w:p>
        </w:tc>
        <w:tc>
          <w:tcPr>
            <w:tcW w:w="988" w:type="pct"/>
            <w:shd w:val="clear" w:color="auto" w:fill="auto"/>
            <w:noWrap/>
            <w:vAlign w:val="center"/>
            <w:hideMark/>
          </w:tcPr>
          <w:p w14:paraId="5CEBF9FB" w14:textId="316C2340" w:rsidR="008D4A14" w:rsidRPr="008D4A14" w:rsidRDefault="008D4A14" w:rsidP="008D4A14">
            <w:pPr>
              <w:spacing w:line="240" w:lineRule="auto"/>
              <w:jc w:val="both"/>
              <w:rPr>
                <w:rFonts w:cstheme="minorHAnsi"/>
                <w:sz w:val="18"/>
                <w:szCs w:val="18"/>
              </w:rPr>
            </w:pPr>
            <w:r w:rsidRPr="008D4A14">
              <w:rPr>
                <w:sz w:val="18"/>
                <w:szCs w:val="18"/>
              </w:rPr>
              <w:t>9,252</w:t>
            </w:r>
          </w:p>
        </w:tc>
        <w:tc>
          <w:tcPr>
            <w:tcW w:w="988" w:type="pct"/>
            <w:shd w:val="clear" w:color="auto" w:fill="auto"/>
            <w:noWrap/>
            <w:vAlign w:val="center"/>
            <w:hideMark/>
          </w:tcPr>
          <w:p w14:paraId="63E1FE61" w14:textId="06405D1A" w:rsidR="008D4A14" w:rsidRPr="008D4A14" w:rsidRDefault="008D4A14" w:rsidP="008D4A14">
            <w:pPr>
              <w:spacing w:line="240" w:lineRule="auto"/>
              <w:jc w:val="both"/>
              <w:rPr>
                <w:rFonts w:cstheme="minorHAnsi"/>
                <w:sz w:val="18"/>
                <w:szCs w:val="18"/>
              </w:rPr>
            </w:pPr>
            <w:r w:rsidRPr="008D4A14">
              <w:rPr>
                <w:sz w:val="18"/>
                <w:szCs w:val="18"/>
              </w:rPr>
              <w:t>11,333</w:t>
            </w:r>
          </w:p>
        </w:tc>
        <w:tc>
          <w:tcPr>
            <w:tcW w:w="988" w:type="pct"/>
            <w:shd w:val="clear" w:color="auto" w:fill="auto"/>
            <w:noWrap/>
            <w:vAlign w:val="center"/>
            <w:hideMark/>
          </w:tcPr>
          <w:p w14:paraId="6FE8B42A" w14:textId="55707ED8" w:rsidR="008D4A14" w:rsidRPr="008D4A14" w:rsidRDefault="008D4A14" w:rsidP="008D4A14">
            <w:pPr>
              <w:spacing w:line="240" w:lineRule="auto"/>
              <w:jc w:val="both"/>
              <w:rPr>
                <w:rFonts w:cstheme="minorHAnsi"/>
                <w:sz w:val="18"/>
                <w:szCs w:val="18"/>
              </w:rPr>
            </w:pPr>
            <w:r w:rsidRPr="008D4A14">
              <w:rPr>
                <w:sz w:val="18"/>
                <w:szCs w:val="18"/>
              </w:rPr>
              <w:t>2,081</w:t>
            </w:r>
          </w:p>
        </w:tc>
        <w:tc>
          <w:tcPr>
            <w:tcW w:w="988" w:type="pct"/>
            <w:shd w:val="clear" w:color="auto" w:fill="auto"/>
            <w:noWrap/>
            <w:vAlign w:val="center"/>
            <w:hideMark/>
          </w:tcPr>
          <w:p w14:paraId="4D54A2CC" w14:textId="12CFCBB2" w:rsidR="008D4A14" w:rsidRPr="008D4A14" w:rsidRDefault="008D4A14" w:rsidP="008D4A14">
            <w:pPr>
              <w:spacing w:line="240" w:lineRule="auto"/>
              <w:jc w:val="both"/>
              <w:rPr>
                <w:rFonts w:cstheme="minorHAnsi"/>
                <w:sz w:val="18"/>
                <w:szCs w:val="18"/>
              </w:rPr>
            </w:pPr>
            <w:r w:rsidRPr="008D4A14">
              <w:rPr>
                <w:sz w:val="18"/>
                <w:szCs w:val="18"/>
              </w:rPr>
              <w:t>48.2%</w:t>
            </w:r>
          </w:p>
        </w:tc>
      </w:tr>
      <w:tr w:rsidR="008D4A14" w:rsidRPr="008D4A14" w14:paraId="6124A497" w14:textId="77777777" w:rsidTr="00FA1B07">
        <w:trPr>
          <w:trHeight w:val="288"/>
        </w:trPr>
        <w:tc>
          <w:tcPr>
            <w:tcW w:w="1048" w:type="pct"/>
            <w:shd w:val="clear" w:color="auto" w:fill="auto"/>
            <w:noWrap/>
            <w:vAlign w:val="center"/>
            <w:hideMark/>
          </w:tcPr>
          <w:p w14:paraId="7D7046BD"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4 bedrooms</w:t>
            </w:r>
          </w:p>
        </w:tc>
        <w:tc>
          <w:tcPr>
            <w:tcW w:w="988" w:type="pct"/>
            <w:shd w:val="clear" w:color="auto" w:fill="auto"/>
            <w:noWrap/>
            <w:vAlign w:val="center"/>
            <w:hideMark/>
          </w:tcPr>
          <w:p w14:paraId="5756BA6B" w14:textId="37F0A149" w:rsidR="008D4A14" w:rsidRPr="008D4A14" w:rsidRDefault="008D4A14" w:rsidP="008D4A14">
            <w:pPr>
              <w:spacing w:line="240" w:lineRule="auto"/>
              <w:jc w:val="both"/>
              <w:rPr>
                <w:rFonts w:cstheme="minorHAnsi"/>
                <w:sz w:val="18"/>
                <w:szCs w:val="18"/>
              </w:rPr>
            </w:pPr>
            <w:r w:rsidRPr="008D4A14">
              <w:rPr>
                <w:sz w:val="18"/>
                <w:szCs w:val="18"/>
              </w:rPr>
              <w:t>3,167</w:t>
            </w:r>
          </w:p>
        </w:tc>
        <w:tc>
          <w:tcPr>
            <w:tcW w:w="988" w:type="pct"/>
            <w:shd w:val="clear" w:color="auto" w:fill="auto"/>
            <w:noWrap/>
            <w:vAlign w:val="center"/>
            <w:hideMark/>
          </w:tcPr>
          <w:p w14:paraId="353A7B28" w14:textId="2B1676A6" w:rsidR="008D4A14" w:rsidRPr="008D4A14" w:rsidRDefault="008D4A14" w:rsidP="008D4A14">
            <w:pPr>
              <w:spacing w:line="240" w:lineRule="auto"/>
              <w:jc w:val="both"/>
              <w:rPr>
                <w:rFonts w:cstheme="minorHAnsi"/>
                <w:sz w:val="18"/>
                <w:szCs w:val="18"/>
              </w:rPr>
            </w:pPr>
            <w:r w:rsidRPr="008D4A14">
              <w:rPr>
                <w:sz w:val="18"/>
                <w:szCs w:val="18"/>
              </w:rPr>
              <w:t>3,555</w:t>
            </w:r>
          </w:p>
        </w:tc>
        <w:tc>
          <w:tcPr>
            <w:tcW w:w="988" w:type="pct"/>
            <w:shd w:val="clear" w:color="auto" w:fill="auto"/>
            <w:noWrap/>
            <w:vAlign w:val="center"/>
            <w:hideMark/>
          </w:tcPr>
          <w:p w14:paraId="1F9370AB" w14:textId="56BB9C86" w:rsidR="008D4A14" w:rsidRPr="008D4A14" w:rsidRDefault="008D4A14" w:rsidP="008D4A14">
            <w:pPr>
              <w:spacing w:line="240" w:lineRule="auto"/>
              <w:jc w:val="both"/>
              <w:rPr>
                <w:rFonts w:cstheme="minorHAnsi"/>
                <w:sz w:val="18"/>
                <w:szCs w:val="18"/>
              </w:rPr>
            </w:pPr>
            <w:r w:rsidRPr="008D4A14">
              <w:rPr>
                <w:sz w:val="18"/>
                <w:szCs w:val="18"/>
              </w:rPr>
              <w:t>388</w:t>
            </w:r>
          </w:p>
        </w:tc>
        <w:tc>
          <w:tcPr>
            <w:tcW w:w="988" w:type="pct"/>
            <w:shd w:val="clear" w:color="auto" w:fill="auto"/>
            <w:noWrap/>
            <w:vAlign w:val="center"/>
            <w:hideMark/>
          </w:tcPr>
          <w:p w14:paraId="7656205E" w14:textId="73AE195C" w:rsidR="008D4A14" w:rsidRPr="008D4A14" w:rsidRDefault="008D4A14" w:rsidP="008D4A14">
            <w:pPr>
              <w:spacing w:line="240" w:lineRule="auto"/>
              <w:jc w:val="both"/>
              <w:rPr>
                <w:rFonts w:cstheme="minorHAnsi"/>
                <w:sz w:val="18"/>
                <w:szCs w:val="18"/>
              </w:rPr>
            </w:pPr>
            <w:r w:rsidRPr="008D4A14">
              <w:rPr>
                <w:sz w:val="18"/>
                <w:szCs w:val="18"/>
              </w:rPr>
              <w:t>9.0%</w:t>
            </w:r>
          </w:p>
        </w:tc>
      </w:tr>
      <w:tr w:rsidR="008D4A14" w:rsidRPr="008D4A14" w14:paraId="7E310221" w14:textId="77777777" w:rsidTr="00FA1B07">
        <w:trPr>
          <w:trHeight w:val="288"/>
        </w:trPr>
        <w:tc>
          <w:tcPr>
            <w:tcW w:w="1048" w:type="pct"/>
            <w:shd w:val="clear" w:color="auto" w:fill="auto"/>
            <w:noWrap/>
            <w:vAlign w:val="center"/>
            <w:hideMark/>
          </w:tcPr>
          <w:p w14:paraId="55CB2B2B" w14:textId="77777777" w:rsidR="008D4A14" w:rsidRPr="008D4A14" w:rsidRDefault="008D4A14" w:rsidP="008D4A14">
            <w:pPr>
              <w:spacing w:line="240" w:lineRule="auto"/>
              <w:jc w:val="both"/>
              <w:rPr>
                <w:rFonts w:cstheme="minorHAnsi"/>
                <w:sz w:val="18"/>
                <w:szCs w:val="18"/>
              </w:rPr>
            </w:pPr>
            <w:r w:rsidRPr="008D4A14">
              <w:rPr>
                <w:rFonts w:cstheme="minorHAnsi"/>
                <w:sz w:val="18"/>
                <w:szCs w:val="18"/>
              </w:rPr>
              <w:t>5 or more bedrooms</w:t>
            </w:r>
          </w:p>
        </w:tc>
        <w:tc>
          <w:tcPr>
            <w:tcW w:w="988" w:type="pct"/>
            <w:shd w:val="clear" w:color="auto" w:fill="auto"/>
            <w:noWrap/>
            <w:vAlign w:val="center"/>
            <w:hideMark/>
          </w:tcPr>
          <w:p w14:paraId="6E43E331" w14:textId="03A26672" w:rsidR="008D4A14" w:rsidRPr="008D4A14" w:rsidRDefault="008D4A14" w:rsidP="008D4A14">
            <w:pPr>
              <w:spacing w:line="240" w:lineRule="auto"/>
              <w:jc w:val="both"/>
              <w:rPr>
                <w:rFonts w:cstheme="minorHAnsi"/>
                <w:sz w:val="18"/>
                <w:szCs w:val="18"/>
              </w:rPr>
            </w:pPr>
            <w:r w:rsidRPr="008D4A14">
              <w:rPr>
                <w:sz w:val="18"/>
                <w:szCs w:val="18"/>
              </w:rPr>
              <w:t>885</w:t>
            </w:r>
          </w:p>
        </w:tc>
        <w:tc>
          <w:tcPr>
            <w:tcW w:w="988" w:type="pct"/>
            <w:shd w:val="clear" w:color="auto" w:fill="auto"/>
            <w:noWrap/>
            <w:vAlign w:val="center"/>
            <w:hideMark/>
          </w:tcPr>
          <w:p w14:paraId="3D6FAF16" w14:textId="3CB42127" w:rsidR="008D4A14" w:rsidRPr="008D4A14" w:rsidRDefault="008D4A14" w:rsidP="008D4A14">
            <w:pPr>
              <w:spacing w:line="240" w:lineRule="auto"/>
              <w:jc w:val="both"/>
              <w:rPr>
                <w:rFonts w:cstheme="minorHAnsi"/>
                <w:sz w:val="18"/>
                <w:szCs w:val="18"/>
              </w:rPr>
            </w:pPr>
            <w:r w:rsidRPr="008D4A14">
              <w:rPr>
                <w:sz w:val="18"/>
                <w:szCs w:val="18"/>
              </w:rPr>
              <w:t>908</w:t>
            </w:r>
          </w:p>
        </w:tc>
        <w:tc>
          <w:tcPr>
            <w:tcW w:w="988" w:type="pct"/>
            <w:shd w:val="clear" w:color="auto" w:fill="auto"/>
            <w:noWrap/>
            <w:vAlign w:val="center"/>
            <w:hideMark/>
          </w:tcPr>
          <w:p w14:paraId="009CA235" w14:textId="59D62720" w:rsidR="008D4A14" w:rsidRPr="008D4A14" w:rsidRDefault="008D4A14" w:rsidP="008D4A14">
            <w:pPr>
              <w:spacing w:line="240" w:lineRule="auto"/>
              <w:jc w:val="both"/>
              <w:rPr>
                <w:rFonts w:cstheme="minorHAnsi"/>
                <w:sz w:val="18"/>
                <w:szCs w:val="18"/>
              </w:rPr>
            </w:pPr>
            <w:r w:rsidRPr="008D4A14">
              <w:rPr>
                <w:sz w:val="18"/>
                <w:szCs w:val="18"/>
              </w:rPr>
              <w:t>23</w:t>
            </w:r>
          </w:p>
        </w:tc>
        <w:tc>
          <w:tcPr>
            <w:tcW w:w="988" w:type="pct"/>
            <w:shd w:val="clear" w:color="auto" w:fill="auto"/>
            <w:noWrap/>
            <w:vAlign w:val="center"/>
            <w:hideMark/>
          </w:tcPr>
          <w:p w14:paraId="14077C1C" w14:textId="6EF0E7E9" w:rsidR="008D4A14" w:rsidRPr="008D4A14" w:rsidRDefault="008D4A14" w:rsidP="008D4A14">
            <w:pPr>
              <w:spacing w:line="240" w:lineRule="auto"/>
              <w:jc w:val="both"/>
              <w:rPr>
                <w:rFonts w:cstheme="minorHAnsi"/>
                <w:sz w:val="18"/>
                <w:szCs w:val="18"/>
              </w:rPr>
            </w:pPr>
            <w:r w:rsidRPr="008D4A14">
              <w:rPr>
                <w:sz w:val="18"/>
                <w:szCs w:val="18"/>
              </w:rPr>
              <w:t>0.5%</w:t>
            </w:r>
          </w:p>
        </w:tc>
      </w:tr>
    </w:tbl>
    <w:p w14:paraId="392BAE07" w14:textId="77777777" w:rsidR="002C2D5C" w:rsidRPr="00374C95" w:rsidRDefault="002C2D5C" w:rsidP="002C2D5C">
      <w:pPr>
        <w:pStyle w:val="Source"/>
        <w:jc w:val="both"/>
        <w:rPr>
          <w:sz w:val="18"/>
          <w:szCs w:val="18"/>
          <w:lang w:val="en-GB"/>
        </w:rPr>
      </w:pPr>
      <w:r w:rsidRPr="00374C95">
        <w:rPr>
          <w:sz w:val="18"/>
          <w:szCs w:val="18"/>
          <w:lang w:val="en-GB"/>
        </w:rPr>
        <w:t>Source: AECOM Calculations</w:t>
      </w:r>
    </w:p>
    <w:p w14:paraId="5BC01257" w14:textId="055943D1" w:rsidR="002C2D5C" w:rsidRDefault="0058175D" w:rsidP="00A82210">
      <w:pPr>
        <w:pStyle w:val="ListNumber"/>
      </w:pPr>
      <w:r>
        <w:t xml:space="preserve">The result of </w:t>
      </w:r>
      <w:r w:rsidR="008A29FC" w:rsidRPr="0058175D">
        <w:t>th</w:t>
      </w:r>
      <w:r w:rsidR="00616B01">
        <w:t>is</w:t>
      </w:r>
      <w:r w:rsidR="008A29FC" w:rsidRPr="0058175D">
        <w:t xml:space="preserve"> life-stage modelling exercise</w:t>
      </w:r>
      <w:r w:rsidR="000F4C55">
        <w:t xml:space="preserve"> </w:t>
      </w:r>
      <w:r w:rsidR="00616B01">
        <w:t>is to suggest</w:t>
      </w:r>
      <w:r w:rsidR="000F4C55">
        <w:t xml:space="preserve"> that, in terms of demographic change</w:t>
      </w:r>
      <w:r w:rsidR="008A29FC" w:rsidRPr="0058175D">
        <w:t xml:space="preserve">, </w:t>
      </w:r>
      <w:r w:rsidR="000F4C55">
        <w:t xml:space="preserve"> new development might involve the following share of dwelling sizes: </w:t>
      </w:r>
      <w:r w:rsidR="00FA1B07">
        <w:t>7.3</w:t>
      </w:r>
      <w:r w:rsidRPr="0058175D">
        <w:t xml:space="preserve">% </w:t>
      </w:r>
      <w:r w:rsidR="000F4C55">
        <w:t>as</w:t>
      </w:r>
      <w:r w:rsidRPr="0058175D">
        <w:t xml:space="preserve"> 1 bedroom, </w:t>
      </w:r>
      <w:r w:rsidR="00FA1B07">
        <w:t>35</w:t>
      </w:r>
      <w:r w:rsidRPr="0058175D">
        <w:t>%</w:t>
      </w:r>
      <w:r w:rsidR="008A29FC" w:rsidRPr="0058175D">
        <w:t xml:space="preserve"> </w:t>
      </w:r>
      <w:r w:rsidR="000F4C55">
        <w:t>as</w:t>
      </w:r>
      <w:r w:rsidRPr="0058175D">
        <w:t xml:space="preserve"> two bedrooms, </w:t>
      </w:r>
      <w:r w:rsidR="00FA1B07">
        <w:t>48</w:t>
      </w:r>
      <w:r w:rsidRPr="0058175D">
        <w:t xml:space="preserve">% </w:t>
      </w:r>
      <w:r w:rsidR="000F4C55">
        <w:t>as</w:t>
      </w:r>
      <w:r w:rsidRPr="0058175D">
        <w:t xml:space="preserve"> three bedrooms, </w:t>
      </w:r>
      <w:r w:rsidR="00FA1B07">
        <w:t>9</w:t>
      </w:r>
      <w:r w:rsidRPr="0058175D">
        <w:t xml:space="preserve">% </w:t>
      </w:r>
      <w:r w:rsidR="000F4C55">
        <w:t>as</w:t>
      </w:r>
      <w:r w:rsidRPr="0058175D">
        <w:t xml:space="preserve"> four bedrooms and </w:t>
      </w:r>
      <w:r w:rsidR="00FA1B07">
        <w:t>0.5</w:t>
      </w:r>
      <w:r w:rsidRPr="0058175D">
        <w:t xml:space="preserve">% </w:t>
      </w:r>
      <w:r w:rsidR="000F4C55">
        <w:t>as</w:t>
      </w:r>
      <w:r w:rsidRPr="0058175D">
        <w:t xml:space="preserve"> 5 or more bedrooms.</w:t>
      </w:r>
    </w:p>
    <w:p w14:paraId="614C0A99" w14:textId="5C33B157" w:rsidR="006F7DF3" w:rsidRPr="00D7476C" w:rsidRDefault="00D7476C" w:rsidP="00A82210">
      <w:pPr>
        <w:pStyle w:val="ListNumber"/>
      </w:pPr>
      <w:r>
        <w:t>Note that only the percentage mix in the right-hand column is relevant to the purposes of this HNA and the neighbourhood planning process. The actual numbers of dwellings required to adjust the size mix do not reflect that actual quantity of housing needed in the NA and are simply a step in the calculation necessary to produce a percentage split. As a general point, this dwelling mix in percentage terms stands alone from the overall quantity of housing needed or allocated over the Plan period, and could equally apply to windfall development, allocations beyond the plan period, or any other source of housing supply.</w:t>
      </w:r>
    </w:p>
    <w:p w14:paraId="728C7E9A" w14:textId="1B4C8D30" w:rsidR="002C2D5C" w:rsidRDefault="002C2D5C" w:rsidP="002C2D5C">
      <w:pPr>
        <w:pStyle w:val="Heading2"/>
        <w:jc w:val="both"/>
      </w:pPr>
      <w:bookmarkStart w:id="179" w:name="_Toc64026817"/>
      <w:r w:rsidRPr="00D9035D">
        <w:t>Conclusions</w:t>
      </w:r>
      <w:r w:rsidR="00BB090C">
        <w:t>- Type and S</w:t>
      </w:r>
      <w:r w:rsidR="001E3D91">
        <w:t>ize</w:t>
      </w:r>
      <w:bookmarkEnd w:id="179"/>
    </w:p>
    <w:p w14:paraId="2BF181D5" w14:textId="18C0F4F3" w:rsidR="00416DFC" w:rsidRDefault="00416DFC" w:rsidP="00A82210">
      <w:pPr>
        <w:pStyle w:val="ListNumber"/>
      </w:pPr>
      <w:bookmarkStart w:id="180" w:name="_Hlk63933070"/>
      <w:r>
        <w:t>Th</w:t>
      </w:r>
      <w:r w:rsidR="00F05364">
        <w:t>e</w:t>
      </w:r>
      <w:r>
        <w:t xml:space="preserve"> analysis </w:t>
      </w:r>
      <w:r w:rsidR="00F05364">
        <w:t xml:space="preserve">in this part of our HNA </w:t>
      </w:r>
      <w:r>
        <w:t>provides an indication of the likely need for different types and sizes of homes based on demographic change. It is important to remember that other factors should be considered in determining the dwelling mix that is desirable in the NA or on any particular site. These include the characteristics of the existing stock of housing, the role of the NA or site within the wider housing market area (linked to any LA strategies or plans)</w:t>
      </w:r>
      <w:r w:rsidR="00F05364">
        <w:t>,</w:t>
      </w:r>
      <w:r>
        <w:t xml:space="preserve"> and site</w:t>
      </w:r>
      <w:r w:rsidR="00F05364">
        <w:t>-</w:t>
      </w:r>
      <w:r>
        <w:t>specific factors which may justify a particular dwelling mix.</w:t>
      </w:r>
    </w:p>
    <w:p w14:paraId="538A70A4" w14:textId="17F35836" w:rsidR="00152402" w:rsidRDefault="00152402" w:rsidP="00152402">
      <w:pPr>
        <w:pStyle w:val="ListNumber"/>
      </w:pPr>
      <w:bookmarkStart w:id="181" w:name="_Hlk60995477"/>
      <w:r>
        <w:t xml:space="preserve">In terms of demographic characteristics, in 2011 Weymouth was home to 23,360 </w:t>
      </w:r>
      <w:r w:rsidRPr="008411EA">
        <w:t xml:space="preserve">households, </w:t>
      </w:r>
      <w:r>
        <w:t>living in 5,505</w:t>
      </w:r>
      <w:r w:rsidRPr="008411EA">
        <w:t xml:space="preserve"> semi-detached, </w:t>
      </w:r>
      <w:r>
        <w:t>6,689</w:t>
      </w:r>
      <w:r w:rsidRPr="008411EA">
        <w:t xml:space="preserve"> terraced houses, and </w:t>
      </w:r>
      <w:r>
        <w:t>6,594</w:t>
      </w:r>
      <w:r w:rsidRPr="008411EA">
        <w:t xml:space="preserve"> flats. </w:t>
      </w:r>
      <w:r>
        <w:t>Overall, there are fewer detached properties</w:t>
      </w:r>
      <w:r w:rsidR="00F05364">
        <w:t xml:space="preserve"> in Weymouth</w:t>
      </w:r>
      <w:r>
        <w:t xml:space="preserve"> than in Dorset overall and more terraced homes and flats.</w:t>
      </w:r>
      <w:r w:rsidRPr="008411EA">
        <w:t xml:space="preserve"> </w:t>
      </w:r>
      <w:r>
        <w:t>Th</w:t>
      </w:r>
      <w:r w:rsidR="00F05364">
        <w:t xml:space="preserve">is type mix </w:t>
      </w:r>
      <w:r>
        <w:t xml:space="preserve">also tallies with </w:t>
      </w:r>
      <w:r w:rsidR="00F05364">
        <w:t>the size mix in Weymouth</w:t>
      </w:r>
      <w:r>
        <w:t>, showing more smaller (1-3 room / 1-2 bedroom) properties and fewer very large (7-9 rooms / 4+ bedroom) homes than across Dorset. The most common size of home is 5 rooms</w:t>
      </w:r>
      <w:r w:rsidR="00F05364">
        <w:t xml:space="preserve"> / </w:t>
      </w:r>
      <w:r>
        <w:t>3 bedrooms both for Weymouth and</w:t>
      </w:r>
      <w:r w:rsidR="00F05364">
        <w:t xml:space="preserve"> for</w:t>
      </w:r>
      <w:r>
        <w:t xml:space="preserve"> Dorset</w:t>
      </w:r>
      <w:r w:rsidRPr="00374C95">
        <w:t>.</w:t>
      </w:r>
      <w:r>
        <w:t xml:space="preserve"> </w:t>
      </w:r>
    </w:p>
    <w:p w14:paraId="01103181" w14:textId="6596779D" w:rsidR="00152402" w:rsidRDefault="00152402" w:rsidP="00152402">
      <w:pPr>
        <w:pStyle w:val="ListNumber"/>
      </w:pPr>
      <w:r>
        <w:t>The local authority’s Annual Monitoring Reports for the period from 2012 to 2018, show that delivery in Weymouth and Portland was mainly concentrated on 2-3 bed houses, followed by 1-2 bed flats. Market houses permitted were more commonly 2-3 bed properties and affordable housing was mainly secured as 2 bed homes, with some 1 and 3 bed properties but no larger units at all. This suggests that since the 2011 Census</w:t>
      </w:r>
      <w:r w:rsidR="00F05364">
        <w:t xml:space="preserve">, </w:t>
      </w:r>
      <w:r>
        <w:t>the prevalence of smaller over larger properties in Weymouth will have increased.</w:t>
      </w:r>
    </w:p>
    <w:p w14:paraId="6547C0E2" w14:textId="38ED9BAA" w:rsidR="00152402" w:rsidRPr="00227631" w:rsidRDefault="00152402" w:rsidP="00152402">
      <w:pPr>
        <w:pStyle w:val="ListNumber"/>
      </w:pPr>
      <w:r>
        <w:t xml:space="preserve">The SHMA findings generally concur with the findings of our HNA, adding some interesting information, for example showing that </w:t>
      </w:r>
      <w:r w:rsidRPr="00227631">
        <w:t xml:space="preserve">in Weymouth &amp; Portland in 2013 just over 50% of households in the private rented sector </w:t>
      </w:r>
      <w:r w:rsidR="00F05364">
        <w:t>we</w:t>
      </w:r>
      <w:r w:rsidRPr="00227631">
        <w:t>re supported by Housing Benefit or Local Housing Allowance, compared to around 25% nationally</w:t>
      </w:r>
      <w:r>
        <w:t xml:space="preserve">, and that the private rented sector had growth significantly. The SHMA data also projected a decline in couple with children households and the largest growth being in lone parent households. </w:t>
      </w:r>
      <w:r w:rsidRPr="00227631">
        <w:t>The model also indicate</w:t>
      </w:r>
      <w:r>
        <w:t>d</w:t>
      </w:r>
      <w:r w:rsidRPr="00227631">
        <w:t xml:space="preserve"> that new owner-occupied accommodation should principally be </w:t>
      </w:r>
      <w:r>
        <w:t>2-4</w:t>
      </w:r>
      <w:r w:rsidRPr="00227631">
        <w:t xml:space="preserve"> bedroom homes and new private rented housing should be </w:t>
      </w:r>
      <w:r>
        <w:t>1-2</w:t>
      </w:r>
      <w:r w:rsidRPr="00227631">
        <w:t xml:space="preserve"> bedroom properties.</w:t>
      </w:r>
    </w:p>
    <w:p w14:paraId="0CBF7F97" w14:textId="53F70C64" w:rsidR="00152402" w:rsidRDefault="00152402" w:rsidP="00152402">
      <w:pPr>
        <w:pStyle w:val="ListNumber"/>
      </w:pPr>
      <w:r>
        <w:t>In terms of age structure, the 2011 C</w:t>
      </w:r>
      <w:r w:rsidRPr="005F50BC">
        <w:t>ensus data reveals that</w:t>
      </w:r>
      <w:r>
        <w:t xml:space="preserve"> Weymouth, when compared to Dorset, has a similar proportion of under 25s, a slightly higher proportion of 25-44 year olds, a similar proportion of 45-64 year olds and a slightly lower proportion of older people over the age of 65.</w:t>
      </w:r>
      <w:r w:rsidRPr="005F50BC">
        <w:t xml:space="preserve"> </w:t>
      </w:r>
      <w:r>
        <w:t xml:space="preserve">However, the proportions of children, young and working age people are lower in Weymouth and Dorset than nationally, and the proportion of over 65s is higher. The intercensal data </w:t>
      </w:r>
      <w:r w:rsidR="002A73A7">
        <w:t xml:space="preserve">2001-2011 </w:t>
      </w:r>
      <w:r>
        <w:t>points towards a decline in the proportion of young families with young children, a rise in families with older children and an increase in older persons as proportions of the population from 2001-2011. Overall, the population of Weymouth is showing an aging trend. This is not too dissimilar from the trends observed across Dorset and England as a whole, although over 85s have shown a much larger increase in Dorset and England than in Weymouth and the younger working age population (25-44) has shown a slight increase across England, compared to a 9% decline in Weymouth and Dorset.</w:t>
      </w:r>
    </w:p>
    <w:p w14:paraId="298E687F" w14:textId="5EB10A23" w:rsidR="00152402" w:rsidRPr="005F50BC" w:rsidRDefault="00152402" w:rsidP="00152402">
      <w:pPr>
        <w:pStyle w:val="ListNumber"/>
      </w:pPr>
      <w:r>
        <w:t xml:space="preserve">In terms of </w:t>
      </w:r>
      <w:r w:rsidR="002A73A7">
        <w:t xml:space="preserve">the Weymouth </w:t>
      </w:r>
      <w:r>
        <w:t xml:space="preserve">household composition, </w:t>
      </w:r>
      <w:r w:rsidR="002A73A7">
        <w:t>this is</w:t>
      </w:r>
      <w:r>
        <w:t xml:space="preserve"> very similar to</w:t>
      </w:r>
      <w:r w:rsidRPr="00CA73BD">
        <w:t xml:space="preserve"> </w:t>
      </w:r>
      <w:r w:rsidR="002A73A7">
        <w:t xml:space="preserve">that of </w:t>
      </w:r>
      <w:r w:rsidRPr="00CA73BD">
        <w:t>the LA</w:t>
      </w:r>
      <w:r>
        <w:t xml:space="preserve"> and the rest of the country, with 33% single households, 61% family households and 6% other households. The proportions of single households under the age of 65 and family households over the age of 65 are slightly higher in Weymouth. Between 2001 and 2011,</w:t>
      </w:r>
      <w:r w:rsidRPr="00CA73BD">
        <w:t xml:space="preserve"> the</w:t>
      </w:r>
      <w:r>
        <w:t xml:space="preserve"> main changes in household composition were</w:t>
      </w:r>
      <w:r w:rsidRPr="00CA73BD">
        <w:t xml:space="preserve"> </w:t>
      </w:r>
      <w:r>
        <w:t>an increase in single households by almost 10%.</w:t>
      </w:r>
    </w:p>
    <w:p w14:paraId="574BA328" w14:textId="1D1E7A66" w:rsidR="00152402" w:rsidRPr="00C057DA" w:rsidRDefault="00152402" w:rsidP="00152402">
      <w:pPr>
        <w:pStyle w:val="ListNumber"/>
      </w:pPr>
      <w:r>
        <w:t xml:space="preserve">In terms of dwelling mix by age, the data shows that younger households occupy smaller housing, primarily with 2 bedrooms. The prevalence of 3 and 4 bedroom properties then increases steadily towards the 40-60 year age group. After this, the proportions of 1 and 2 bed properties rises again, with the popularity of 3 and 4 bed properties declining. However, these changes to not return households to the same situation as those under the age of 30. Over 85s occupy a similar size of home as 30-35 year olds. These trends are similar across the country, with households occupying increasingly larger homes as their families and incomes growth towards the middle of their life, and then becoming more likely to occupy a smaller home again later in life as children move out and the family earners retire. However, in older age, many households then </w:t>
      </w:r>
      <w:r w:rsidR="00B05ECB">
        <w:t>und</w:t>
      </w:r>
      <w:r>
        <w:t>er-occupy their home as the incentive to downsize out of their former family home is not sufficiently large.</w:t>
      </w:r>
    </w:p>
    <w:p w14:paraId="0BBF1944" w14:textId="1FE8EDD8" w:rsidR="00152402" w:rsidRDefault="00152402" w:rsidP="00152402">
      <w:pPr>
        <w:pStyle w:val="ListNumber"/>
      </w:pPr>
      <w:r>
        <w:t>Over the plan period, the greatest increase in housing stock</w:t>
      </w:r>
      <w:r w:rsidR="002A73A7">
        <w:t xml:space="preserve"> in Weymouth</w:t>
      </w:r>
      <w:r>
        <w:t xml:space="preserve"> is required in middle sized homes of three- and two-bedrooms (48 and 35% respectively) with only minor additions of 7-9% needed to the stock in the smaller and larger 1 and 4 bedroom size categories</w:t>
      </w:r>
      <w:r w:rsidRPr="00AC0E8A">
        <w:t>.</w:t>
      </w:r>
      <w:r>
        <w:t xml:space="preserve"> The </w:t>
      </w:r>
      <w:r w:rsidR="002A73A7">
        <w:t>lowest</w:t>
      </w:r>
      <w:r>
        <w:t xml:space="preserve"> increase is required in the largest, 5 or more bedroom category (0.5%). Therefore, new dwelling stock should provide some mix of all sizes of properties, but primarily deliver 2-3 bed properties</w:t>
      </w:r>
      <w:r w:rsidRPr="0058175D">
        <w:t>.</w:t>
      </w:r>
      <w:r>
        <w:t xml:space="preserve"> This dwelling mix in percentage terms stands alone from the overall quantity of housing needed or allocated over the Plan period, and could equally apply to windfall development, allocations beyond the plan period, or any other source of housing supply.</w:t>
      </w:r>
    </w:p>
    <w:bookmarkEnd w:id="180"/>
    <w:bookmarkEnd w:id="181"/>
    <w:p w14:paraId="79EE5E6A" w14:textId="1DB921DF" w:rsidR="002C2D5C" w:rsidRPr="003E763A" w:rsidRDefault="002C2D5C" w:rsidP="00F06B2A">
      <w:pPr>
        <w:pStyle w:val="ListBullet"/>
      </w:pPr>
      <w:r>
        <w:br w:type="page"/>
      </w:r>
    </w:p>
    <w:p w14:paraId="48A90D21" w14:textId="02DF861A" w:rsidR="002C2D5C" w:rsidRDefault="002C2D5C" w:rsidP="002C2D5C">
      <w:pPr>
        <w:pStyle w:val="Heading1"/>
        <w:jc w:val="both"/>
      </w:pPr>
      <w:bookmarkStart w:id="182" w:name="_Toc64026818"/>
      <w:bookmarkEnd w:id="76"/>
      <w:r>
        <w:t xml:space="preserve">RQ </w:t>
      </w:r>
      <w:r w:rsidR="00541284">
        <w:t>3</w:t>
      </w:r>
      <w:r w:rsidR="00D272A0">
        <w:t>:</w:t>
      </w:r>
      <w:r w:rsidRPr="007C5C1C">
        <w:t xml:space="preserve"> </w:t>
      </w:r>
      <w:r w:rsidRPr="00A42F6C">
        <w:t>Specialist housing</w:t>
      </w:r>
      <w:r w:rsidR="00523956">
        <w:t xml:space="preserve"> for </w:t>
      </w:r>
      <w:r w:rsidR="00416DFC">
        <w:t>older people</w:t>
      </w:r>
      <w:bookmarkEnd w:id="182"/>
    </w:p>
    <w:p w14:paraId="7E12AEB8" w14:textId="03F75FE6" w:rsidR="00826421" w:rsidRPr="00826421" w:rsidRDefault="00826421" w:rsidP="00826421">
      <w:pPr>
        <w:spacing w:before="0" w:after="120"/>
        <w:ind w:left="425"/>
        <w:jc w:val="both"/>
        <w:rPr>
          <w:b/>
          <w:i/>
          <w:sz w:val="18"/>
          <w:szCs w:val="18"/>
          <w:lang w:val="en-US"/>
        </w:rPr>
      </w:pPr>
      <w:r w:rsidRPr="00826421">
        <w:rPr>
          <w:b/>
          <w:i/>
          <w:sz w:val="18"/>
          <w:szCs w:val="18"/>
          <w:lang w:val="en-US"/>
        </w:rPr>
        <w:t xml:space="preserve">RQ </w:t>
      </w:r>
      <w:r w:rsidR="00541284">
        <w:rPr>
          <w:b/>
          <w:i/>
          <w:sz w:val="18"/>
          <w:szCs w:val="18"/>
          <w:lang w:val="en-US"/>
        </w:rPr>
        <w:t>3</w:t>
      </w:r>
      <w:r w:rsidRPr="00826421">
        <w:rPr>
          <w:b/>
          <w:i/>
          <w:sz w:val="18"/>
          <w:szCs w:val="18"/>
          <w:lang w:val="en-US"/>
        </w:rPr>
        <w:t>: What provision should be made for specialist housing for older and disabled people over the Neighbourhood Plan period?</w:t>
      </w:r>
    </w:p>
    <w:p w14:paraId="2DC5CE71" w14:textId="77777777" w:rsidR="00826421" w:rsidRPr="00826421" w:rsidRDefault="00826421" w:rsidP="008C5248">
      <w:pPr>
        <w:pStyle w:val="Heading2"/>
      </w:pPr>
      <w:bookmarkStart w:id="183" w:name="_Toc13235055"/>
      <w:bookmarkStart w:id="184" w:name="_Toc64026819"/>
      <w:r w:rsidRPr="00826421">
        <w:t>Introduction</w:t>
      </w:r>
      <w:bookmarkEnd w:id="183"/>
      <w:bookmarkEnd w:id="184"/>
    </w:p>
    <w:p w14:paraId="37D86014" w14:textId="019D6A84" w:rsidR="00541284" w:rsidRDefault="00826421" w:rsidP="00826421">
      <w:pPr>
        <w:numPr>
          <w:ilvl w:val="0"/>
          <w:numId w:val="15"/>
        </w:numPr>
        <w:spacing w:after="120"/>
        <w:rPr>
          <w:rFonts w:eastAsia="SimSun"/>
          <w:sz w:val="18"/>
          <w:szCs w:val="18"/>
          <w:lang w:val="en-US"/>
        </w:rPr>
      </w:pPr>
      <w:r w:rsidRPr="00826421">
        <w:rPr>
          <w:rFonts w:eastAsia="SimSun"/>
          <w:sz w:val="18"/>
          <w:szCs w:val="18"/>
          <w:lang w:val="en-US"/>
        </w:rPr>
        <w:t xml:space="preserve">This chapter considers in detail the specialist housing needs for older and disabled people in </w:t>
      </w:r>
      <w:r w:rsidR="0015105E">
        <w:rPr>
          <w:rFonts w:eastAsia="SimSun"/>
          <w:sz w:val="18"/>
          <w:szCs w:val="18"/>
          <w:lang w:val="en-US"/>
        </w:rPr>
        <w:t>Weymouth</w:t>
      </w:r>
      <w:r w:rsidRPr="00826421">
        <w:rPr>
          <w:rFonts w:eastAsia="SimSun"/>
          <w:sz w:val="18"/>
          <w:szCs w:val="18"/>
          <w:lang w:val="en-US"/>
        </w:rPr>
        <w:t xml:space="preserve">. It considers the quantity, tenure and size of dwellings </w:t>
      </w:r>
      <w:r w:rsidR="00007D78">
        <w:rPr>
          <w:rFonts w:eastAsia="SimSun"/>
          <w:sz w:val="18"/>
          <w:szCs w:val="18"/>
          <w:lang w:val="en-US"/>
        </w:rPr>
        <w:t>that might be required</w:t>
      </w:r>
      <w:r w:rsidRPr="00826421">
        <w:rPr>
          <w:rFonts w:eastAsia="SimSun"/>
          <w:sz w:val="18"/>
          <w:szCs w:val="18"/>
          <w:lang w:val="en-US"/>
        </w:rPr>
        <w:t>.</w:t>
      </w:r>
      <w:r w:rsidR="000944D0">
        <w:rPr>
          <w:rFonts w:eastAsia="SimSun"/>
          <w:sz w:val="18"/>
          <w:szCs w:val="18"/>
          <w:lang w:val="en-US"/>
        </w:rPr>
        <w:t xml:space="preserve"> Weymouth has an ageing population and it is expected that the population over 75 will almost double over the plan period. This will substantially increase the demand for specialist accommodation. Our analysis in this chapter shows that there is likely to be a need of at least </w:t>
      </w:r>
      <w:r w:rsidR="006E76DE">
        <w:rPr>
          <w:rFonts w:eastAsia="SimSun"/>
          <w:sz w:val="18"/>
          <w:szCs w:val="18"/>
          <w:lang w:val="en-US"/>
        </w:rPr>
        <w:t>1,029</w:t>
      </w:r>
      <w:r w:rsidR="000944D0">
        <w:rPr>
          <w:rFonts w:eastAsia="SimSun"/>
          <w:sz w:val="18"/>
          <w:szCs w:val="18"/>
          <w:lang w:val="en-US"/>
        </w:rPr>
        <w:t xml:space="preserve"> additional specialist dwellings for older people over the plan period</w:t>
      </w:r>
      <w:r w:rsidR="003B0CE1">
        <w:rPr>
          <w:rFonts w:eastAsia="SimSun"/>
          <w:sz w:val="18"/>
          <w:szCs w:val="18"/>
          <w:lang w:val="en-US"/>
        </w:rPr>
        <w:t xml:space="preserve">, and up to a need for </w:t>
      </w:r>
      <w:r w:rsidR="006E76DE">
        <w:rPr>
          <w:rFonts w:eastAsia="SimSun"/>
          <w:sz w:val="18"/>
          <w:szCs w:val="18"/>
          <w:lang w:val="en-US"/>
        </w:rPr>
        <w:t>1,374</w:t>
      </w:r>
      <w:r w:rsidR="003B0CE1">
        <w:rPr>
          <w:rFonts w:eastAsia="SimSun"/>
          <w:sz w:val="18"/>
          <w:szCs w:val="18"/>
          <w:lang w:val="en-US"/>
        </w:rPr>
        <w:t xml:space="preserve"> additional specialist dwellings</w:t>
      </w:r>
      <w:r w:rsidR="000944D0">
        <w:rPr>
          <w:rFonts w:eastAsia="SimSun"/>
          <w:sz w:val="18"/>
          <w:szCs w:val="18"/>
          <w:lang w:val="en-US"/>
        </w:rPr>
        <w:t>.</w:t>
      </w:r>
      <w:r w:rsidR="003B0CE1">
        <w:rPr>
          <w:rFonts w:eastAsia="SimSun"/>
          <w:sz w:val="18"/>
          <w:szCs w:val="18"/>
          <w:lang w:val="en-US"/>
        </w:rPr>
        <w:t xml:space="preserve"> The range of </w:t>
      </w:r>
      <w:r w:rsidR="006E76DE">
        <w:rPr>
          <w:rFonts w:eastAsia="SimSun"/>
          <w:sz w:val="18"/>
          <w:szCs w:val="18"/>
          <w:lang w:val="en-US"/>
        </w:rPr>
        <w:t>1,029</w:t>
      </w:r>
      <w:r w:rsidR="003B0CE1">
        <w:rPr>
          <w:rFonts w:eastAsia="SimSun"/>
          <w:sz w:val="18"/>
          <w:szCs w:val="18"/>
          <w:lang w:val="en-US"/>
        </w:rPr>
        <w:t xml:space="preserve"> to </w:t>
      </w:r>
      <w:r w:rsidR="006E76DE">
        <w:rPr>
          <w:rFonts w:eastAsia="SimSun"/>
          <w:sz w:val="18"/>
          <w:szCs w:val="18"/>
          <w:lang w:val="en-US"/>
        </w:rPr>
        <w:t>1,374</w:t>
      </w:r>
      <w:r w:rsidR="003B0CE1">
        <w:rPr>
          <w:rFonts w:eastAsia="SimSun"/>
          <w:sz w:val="18"/>
          <w:szCs w:val="18"/>
          <w:lang w:val="en-US"/>
        </w:rPr>
        <w:t xml:space="preserve"> dwellings is considered to be a reliable reflection of the additional needs which will be generated over the plan period to 2038.</w:t>
      </w:r>
    </w:p>
    <w:p w14:paraId="188D99CC" w14:textId="1C0CF324" w:rsidR="00826421" w:rsidRPr="00826421" w:rsidRDefault="003B5127" w:rsidP="00826421">
      <w:pPr>
        <w:numPr>
          <w:ilvl w:val="0"/>
          <w:numId w:val="15"/>
        </w:numPr>
        <w:spacing w:after="120"/>
        <w:rPr>
          <w:rFonts w:eastAsia="SimSun"/>
          <w:sz w:val="18"/>
          <w:szCs w:val="18"/>
          <w:lang w:val="en-US"/>
        </w:rPr>
      </w:pPr>
      <w:r>
        <w:rPr>
          <w:rFonts w:eastAsia="SimSun"/>
          <w:sz w:val="18"/>
          <w:szCs w:val="18"/>
          <w:lang w:val="en-US"/>
        </w:rPr>
        <w:t xml:space="preserve">It is important to keep in mind that there is no formal definition of ‘old age’. People experience ageing differently and much depends on their health, lifestyle and relationship with work. Some people live healthy and active lives into advanced old age whilst others may need support and care much earlier in their lives. It is useful to think of two main stages in later life: the </w:t>
      </w:r>
      <w:r w:rsidR="007B48C0">
        <w:rPr>
          <w:rFonts w:eastAsia="SimSun"/>
          <w:sz w:val="18"/>
          <w:szCs w:val="18"/>
          <w:lang w:val="en-US"/>
        </w:rPr>
        <w:t>‘</w:t>
      </w:r>
      <w:r>
        <w:rPr>
          <w:rFonts w:eastAsia="SimSun"/>
          <w:sz w:val="18"/>
          <w:szCs w:val="18"/>
          <w:lang w:val="en-US"/>
        </w:rPr>
        <w:t>3</w:t>
      </w:r>
      <w:r w:rsidRPr="008C5248">
        <w:rPr>
          <w:rFonts w:eastAsia="SimSun"/>
          <w:sz w:val="18"/>
          <w:szCs w:val="18"/>
          <w:vertAlign w:val="superscript"/>
          <w:lang w:val="en-US"/>
        </w:rPr>
        <w:t>rd</w:t>
      </w:r>
      <w:r>
        <w:rPr>
          <w:rFonts w:eastAsia="SimSun"/>
          <w:sz w:val="18"/>
          <w:szCs w:val="18"/>
          <w:lang w:val="en-US"/>
        </w:rPr>
        <w:t xml:space="preserve"> age</w:t>
      </w:r>
      <w:r w:rsidR="007B48C0">
        <w:rPr>
          <w:rFonts w:eastAsia="SimSun"/>
          <w:sz w:val="18"/>
          <w:szCs w:val="18"/>
          <w:lang w:val="en-US"/>
        </w:rPr>
        <w:t>’</w:t>
      </w:r>
      <w:r>
        <w:rPr>
          <w:rFonts w:eastAsia="SimSun"/>
          <w:sz w:val="18"/>
          <w:szCs w:val="18"/>
          <w:lang w:val="en-US"/>
        </w:rPr>
        <w:t xml:space="preserve"> – where people are healthy and active and may or may not continue to work and the </w:t>
      </w:r>
      <w:r w:rsidR="007B48C0">
        <w:rPr>
          <w:rFonts w:eastAsia="SimSun"/>
          <w:sz w:val="18"/>
          <w:szCs w:val="18"/>
          <w:lang w:val="en-US"/>
        </w:rPr>
        <w:t>‘</w:t>
      </w:r>
      <w:r>
        <w:rPr>
          <w:rFonts w:eastAsia="SimSun"/>
          <w:sz w:val="18"/>
          <w:szCs w:val="18"/>
          <w:lang w:val="en-US"/>
        </w:rPr>
        <w:t>4</w:t>
      </w:r>
      <w:r w:rsidRPr="008C5248">
        <w:rPr>
          <w:rFonts w:eastAsia="SimSun"/>
          <w:sz w:val="18"/>
          <w:szCs w:val="18"/>
          <w:vertAlign w:val="superscript"/>
          <w:lang w:val="en-US"/>
        </w:rPr>
        <w:t>th</w:t>
      </w:r>
      <w:r>
        <w:rPr>
          <w:rFonts w:eastAsia="SimSun"/>
          <w:sz w:val="18"/>
          <w:szCs w:val="18"/>
          <w:lang w:val="en-US"/>
        </w:rPr>
        <w:t xml:space="preserve"> age</w:t>
      </w:r>
      <w:r w:rsidR="007B48C0">
        <w:rPr>
          <w:rFonts w:eastAsia="SimSun"/>
          <w:sz w:val="18"/>
          <w:szCs w:val="18"/>
          <w:lang w:val="en-US"/>
        </w:rPr>
        <w:t>’</w:t>
      </w:r>
      <w:r>
        <w:rPr>
          <w:rFonts w:eastAsia="SimSun"/>
          <w:sz w:val="18"/>
          <w:szCs w:val="18"/>
          <w:lang w:val="en-US"/>
        </w:rPr>
        <w:t xml:space="preserve"> – where </w:t>
      </w:r>
      <w:r w:rsidR="007B48C0">
        <w:rPr>
          <w:rFonts w:eastAsia="SimSun"/>
          <w:sz w:val="18"/>
          <w:szCs w:val="18"/>
          <w:lang w:val="en-US"/>
        </w:rPr>
        <w:t xml:space="preserve">older </w:t>
      </w:r>
      <w:r>
        <w:rPr>
          <w:rFonts w:eastAsia="SimSun"/>
          <w:sz w:val="18"/>
          <w:szCs w:val="18"/>
          <w:lang w:val="en-US"/>
        </w:rPr>
        <w:t>people need care and support to meet their health needs.</w:t>
      </w:r>
      <w:r w:rsidR="007B48C0">
        <w:rPr>
          <w:rStyle w:val="FootnoteReference"/>
          <w:rFonts w:eastAsia="SimSun"/>
          <w:sz w:val="18"/>
          <w:szCs w:val="18"/>
          <w:lang w:val="en-US"/>
        </w:rPr>
        <w:footnoteReference w:id="49"/>
      </w:r>
      <w:r>
        <w:rPr>
          <w:rFonts w:eastAsia="SimSun"/>
          <w:sz w:val="18"/>
          <w:szCs w:val="18"/>
          <w:lang w:val="en-US"/>
        </w:rPr>
        <w:t xml:space="preserve"> These two stages are not necessarily related to age</w:t>
      </w:r>
      <w:r w:rsidR="007B48C0">
        <w:rPr>
          <w:rFonts w:eastAsia="SimSun"/>
          <w:sz w:val="18"/>
          <w:szCs w:val="18"/>
          <w:lang w:val="en-US"/>
        </w:rPr>
        <w:t xml:space="preserve"> though most people in advanced old age (85+) will need care or support at some point in their lives. The housing needs of these two groups can be markedly different. </w:t>
      </w:r>
    </w:p>
    <w:p w14:paraId="0B51EB4C" w14:textId="77777777" w:rsidR="00826421" w:rsidRPr="00826421" w:rsidRDefault="00826421" w:rsidP="00826421">
      <w:pPr>
        <w:numPr>
          <w:ilvl w:val="0"/>
          <w:numId w:val="15"/>
        </w:numPr>
        <w:spacing w:after="120"/>
        <w:rPr>
          <w:rFonts w:eastAsia="SimSun"/>
          <w:sz w:val="18"/>
          <w:szCs w:val="18"/>
          <w:lang w:val="en-US"/>
        </w:rPr>
      </w:pPr>
      <w:r w:rsidRPr="00826421">
        <w:rPr>
          <w:rFonts w:eastAsia="SimSun"/>
          <w:sz w:val="18"/>
          <w:szCs w:val="18"/>
          <w:lang w:val="en-US"/>
        </w:rPr>
        <w:t>In the Planning Practice Guidance (PPG), the Government states that plans need to provide for specialist housing for older people where a need exists. Innovative and diverse housing models will need to be considered where appropriate.</w:t>
      </w:r>
      <w:r w:rsidRPr="00826421">
        <w:rPr>
          <w:rFonts w:asciiTheme="majorHAnsi" w:eastAsia="SimSun" w:hAnsiTheme="majorHAnsi"/>
          <w:color w:val="auto"/>
          <w:sz w:val="18"/>
          <w:szCs w:val="18"/>
          <w:vertAlign w:val="superscript"/>
          <w:lang w:val="en-US"/>
        </w:rPr>
        <w:footnoteReference w:id="50"/>
      </w:r>
    </w:p>
    <w:p w14:paraId="60BC8153" w14:textId="77777777" w:rsidR="00826421" w:rsidRPr="00826421" w:rsidRDefault="00826421" w:rsidP="00826421">
      <w:pPr>
        <w:numPr>
          <w:ilvl w:val="0"/>
          <w:numId w:val="15"/>
        </w:numPr>
        <w:spacing w:after="120"/>
        <w:rPr>
          <w:rFonts w:eastAsia="SimSun"/>
          <w:sz w:val="18"/>
          <w:szCs w:val="18"/>
          <w:lang w:val="en-US"/>
        </w:rPr>
      </w:pPr>
      <w:r w:rsidRPr="00826421">
        <w:rPr>
          <w:rFonts w:eastAsia="SimSun"/>
          <w:sz w:val="18"/>
          <w:szCs w:val="18"/>
          <w:lang w:val="en-US"/>
        </w:rPr>
        <w:t>It is important to note that, as stated in the PPG, the need for housing for particular groups of people may well exceed, or be proportionally high in relation to, the overall (i.e. the total) housing need figure. This is because the needs of particular groups will often be calculated having consideration to the whole population of an area as a baseline as opposed to the projected new households which form the baseline for the standard method.</w:t>
      </w:r>
      <w:r w:rsidRPr="00826421">
        <w:rPr>
          <w:rFonts w:asciiTheme="majorHAnsi" w:eastAsia="SimSun" w:hAnsiTheme="majorHAnsi"/>
          <w:color w:val="auto"/>
          <w:sz w:val="18"/>
          <w:szCs w:val="18"/>
          <w:vertAlign w:val="superscript"/>
          <w:lang w:val="en-US"/>
        </w:rPr>
        <w:footnoteReference w:id="51"/>
      </w:r>
    </w:p>
    <w:p w14:paraId="3ABA2844" w14:textId="3611CB9B" w:rsidR="00826421" w:rsidRPr="00826421" w:rsidRDefault="00D9182E" w:rsidP="00826421">
      <w:pPr>
        <w:numPr>
          <w:ilvl w:val="0"/>
          <w:numId w:val="15"/>
        </w:numPr>
        <w:spacing w:after="120"/>
        <w:rPr>
          <w:rFonts w:eastAsia="SimSun"/>
          <w:sz w:val="18"/>
          <w:szCs w:val="18"/>
          <w:lang w:val="en-US"/>
        </w:rPr>
      </w:pPr>
      <w:r>
        <w:rPr>
          <w:rFonts w:eastAsia="SimSun"/>
          <w:sz w:val="18"/>
          <w:szCs w:val="18"/>
          <w:lang w:val="en-US"/>
        </w:rPr>
        <w:t>In considering the need or demand for s</w:t>
      </w:r>
      <w:r w:rsidR="00826421" w:rsidRPr="00826421">
        <w:rPr>
          <w:rFonts w:eastAsia="SimSun"/>
          <w:sz w:val="18"/>
          <w:szCs w:val="18"/>
          <w:lang w:val="en-US"/>
        </w:rPr>
        <w:t xml:space="preserve">pecialist housing for older people </w:t>
      </w:r>
      <w:r>
        <w:rPr>
          <w:rFonts w:eastAsia="SimSun"/>
          <w:sz w:val="18"/>
          <w:szCs w:val="18"/>
          <w:lang w:val="en-US"/>
        </w:rPr>
        <w:t xml:space="preserve">it </w:t>
      </w:r>
      <w:r w:rsidR="00826421" w:rsidRPr="00826421">
        <w:rPr>
          <w:rFonts w:eastAsia="SimSun"/>
          <w:sz w:val="18"/>
          <w:szCs w:val="18"/>
          <w:lang w:val="en-US"/>
        </w:rPr>
        <w:t>is appropriate to consider the population aged 75+</w:t>
      </w:r>
      <w:r>
        <w:rPr>
          <w:rFonts w:eastAsia="SimSun"/>
          <w:sz w:val="18"/>
          <w:szCs w:val="18"/>
          <w:lang w:val="en-US"/>
        </w:rPr>
        <w:t xml:space="preserve"> since this group is more likely to access this type of housing</w:t>
      </w:r>
      <w:r w:rsidR="00826421" w:rsidRPr="00826421">
        <w:rPr>
          <w:rFonts w:eastAsia="SimSun"/>
          <w:sz w:val="18"/>
          <w:szCs w:val="18"/>
          <w:lang w:val="en-US"/>
        </w:rPr>
        <w:t>. The needs of this sector of the population have been assessed through two methods. The first is a tenure-led projection, based on the tenure of dwellings typically occupied by people in this age group. The second, included for the purposes of comparison, is based on the Housing Learning and Improvement Network’s (HLIN) Strategic Housing for Older People (SHOP) tool</w:t>
      </w:r>
      <w:r w:rsidR="00826421" w:rsidRPr="00826421">
        <w:rPr>
          <w:rFonts w:eastAsia="SimSun"/>
          <w:sz w:val="18"/>
          <w:szCs w:val="18"/>
          <w:vertAlign w:val="superscript"/>
          <w:lang w:val="en-US"/>
        </w:rPr>
        <w:footnoteReference w:id="52"/>
      </w:r>
      <w:r w:rsidR="00826421" w:rsidRPr="00826421">
        <w:rPr>
          <w:rFonts w:eastAsia="SimSun"/>
          <w:sz w:val="18"/>
          <w:szCs w:val="18"/>
          <w:lang w:val="en-US"/>
        </w:rPr>
        <w:t xml:space="preserve">, which is based on best practice nationally and sets a recommended level of provision per 1,000 head of population. </w:t>
      </w:r>
    </w:p>
    <w:p w14:paraId="12A78DC0" w14:textId="4C043EAD" w:rsidR="00826421" w:rsidRPr="00826421" w:rsidRDefault="00826421" w:rsidP="00826421">
      <w:pPr>
        <w:numPr>
          <w:ilvl w:val="0"/>
          <w:numId w:val="15"/>
        </w:numPr>
        <w:spacing w:after="120"/>
        <w:rPr>
          <w:rFonts w:eastAsia="SimSun"/>
          <w:sz w:val="18"/>
          <w:szCs w:val="18"/>
          <w:lang w:val="en-US"/>
        </w:rPr>
      </w:pPr>
      <w:r w:rsidRPr="00826421">
        <w:rPr>
          <w:rFonts w:eastAsia="SimSun"/>
          <w:sz w:val="18"/>
          <w:szCs w:val="18"/>
          <w:lang w:val="en-US"/>
        </w:rPr>
        <w:t>Housing needs assessment covers the need for houses that fall for the purposes of the planning system into Use Class C3 (private dwellings)</w:t>
      </w:r>
      <w:r w:rsidRPr="00826421">
        <w:rPr>
          <w:rFonts w:asciiTheme="majorHAnsi" w:eastAsia="SimSun" w:hAnsiTheme="majorHAnsi"/>
          <w:color w:val="auto"/>
          <w:sz w:val="18"/>
          <w:szCs w:val="18"/>
          <w:vertAlign w:val="superscript"/>
          <w:lang w:val="en-US"/>
        </w:rPr>
        <w:footnoteReference w:id="53"/>
      </w:r>
      <w:r w:rsidRPr="00826421">
        <w:rPr>
          <w:rFonts w:eastAsia="SimSun"/>
          <w:sz w:val="18"/>
          <w:szCs w:val="18"/>
          <w:lang w:val="en-US"/>
        </w:rPr>
        <w:t xml:space="preserve">. Any assessment of need for residences that fall into Use Class C2 (residential institutions, which include prisons, boarding schools and some care homes for the elderly) would be a separate exercise outside the scope of a standard HNA. Unfortunately, however, the dividing line between care homes for </w:t>
      </w:r>
      <w:r w:rsidR="00D9182E">
        <w:rPr>
          <w:rFonts w:eastAsia="SimSun"/>
          <w:sz w:val="18"/>
          <w:szCs w:val="18"/>
          <w:lang w:val="en-US"/>
        </w:rPr>
        <w:t>older people</w:t>
      </w:r>
      <w:r w:rsidRPr="00826421">
        <w:rPr>
          <w:rFonts w:eastAsia="SimSun"/>
          <w:sz w:val="18"/>
          <w:szCs w:val="18"/>
          <w:lang w:val="en-US"/>
        </w:rPr>
        <w:t xml:space="preserve"> that fall into use class C2 and those where accommodation is counted as C3 is blurred. In some cases, </w:t>
      </w:r>
      <w:r w:rsidR="00D9182E">
        <w:rPr>
          <w:rFonts w:eastAsia="SimSun"/>
          <w:sz w:val="18"/>
          <w:szCs w:val="18"/>
          <w:lang w:val="en-US"/>
        </w:rPr>
        <w:t>extra</w:t>
      </w:r>
      <w:r w:rsidR="00D9182E" w:rsidRPr="00826421">
        <w:rPr>
          <w:rFonts w:eastAsia="SimSun"/>
          <w:sz w:val="18"/>
          <w:szCs w:val="18"/>
          <w:lang w:val="en-US"/>
        </w:rPr>
        <w:t xml:space="preserve"> </w:t>
      </w:r>
      <w:r w:rsidR="00D9182E">
        <w:rPr>
          <w:rFonts w:eastAsia="SimSun"/>
          <w:sz w:val="18"/>
          <w:szCs w:val="18"/>
          <w:lang w:val="en-US"/>
        </w:rPr>
        <w:t>care schemes</w:t>
      </w:r>
      <w:r w:rsidRPr="00826421">
        <w:rPr>
          <w:rFonts w:eastAsia="SimSun"/>
          <w:sz w:val="18"/>
          <w:szCs w:val="18"/>
          <w:lang w:val="en-US"/>
        </w:rPr>
        <w:t xml:space="preserve">, particularly those where independent living is emphasised and care provision is more limited, will be counted as C3. However, in other cases, particularly where care provision is higher, they will be counted as C2. There is no hard and fast rule- clear differentiation between the two has not been set in government policy. </w:t>
      </w:r>
    </w:p>
    <w:p w14:paraId="40F5B872" w14:textId="31B24467" w:rsidR="00826421" w:rsidRPr="00826421" w:rsidRDefault="00826421" w:rsidP="00826421">
      <w:pPr>
        <w:numPr>
          <w:ilvl w:val="0"/>
          <w:numId w:val="15"/>
        </w:numPr>
        <w:spacing w:after="120"/>
        <w:rPr>
          <w:rFonts w:eastAsia="SimSun"/>
          <w:sz w:val="18"/>
          <w:szCs w:val="18"/>
          <w:lang w:val="en-US"/>
        </w:rPr>
      </w:pPr>
      <w:r w:rsidRPr="00826421">
        <w:rPr>
          <w:rFonts w:eastAsia="SimSun"/>
          <w:sz w:val="18"/>
          <w:szCs w:val="18"/>
          <w:lang w:val="en-US"/>
        </w:rPr>
        <w:t xml:space="preserve">As such, existing and future specialist housing for </w:t>
      </w:r>
      <w:r w:rsidR="00D9182E">
        <w:rPr>
          <w:rFonts w:eastAsia="SimSun"/>
          <w:sz w:val="18"/>
          <w:szCs w:val="18"/>
          <w:lang w:val="en-US"/>
        </w:rPr>
        <w:t>older people</w:t>
      </w:r>
      <w:r w:rsidRPr="00826421">
        <w:rPr>
          <w:rFonts w:eastAsia="SimSun"/>
          <w:sz w:val="18"/>
          <w:szCs w:val="18"/>
          <w:lang w:val="en-US"/>
        </w:rPr>
        <w:t xml:space="preserve"> may be either C2 or C3, but the important point is that it is not possible to state definitively at the time of assessment whether any new provision forecast to be needed on the basis of current evidence will fall into use class C2 or C3. The distinction is important because accommodation in C2 buildings does not count towards the overall housing target for the neighbourhood plan areas whereas C3 accommodation units do. Therefore, it is not possible to state at this point the extent of overlap, if any, between the overall quantity of specialist housing forecast to be required and the overall housing quantity figure for the plan area.</w:t>
      </w:r>
    </w:p>
    <w:p w14:paraId="2DB1C202" w14:textId="0F4C8E5E" w:rsidR="00826421" w:rsidRPr="00826421" w:rsidRDefault="00826421" w:rsidP="008C5248">
      <w:pPr>
        <w:pStyle w:val="Heading2"/>
      </w:pPr>
      <w:bookmarkStart w:id="185" w:name="_Toc13235056"/>
      <w:bookmarkStart w:id="186" w:name="_Toc64026820"/>
      <w:r w:rsidRPr="00826421">
        <w:t>Housing for older people</w:t>
      </w:r>
      <w:r w:rsidR="00BA41FF">
        <w:t xml:space="preserve"> </w:t>
      </w:r>
      <w:r w:rsidRPr="00826421">
        <w:t>- context</w:t>
      </w:r>
      <w:bookmarkEnd w:id="185"/>
      <w:bookmarkEnd w:id="186"/>
    </w:p>
    <w:p w14:paraId="74C41221" w14:textId="77777777" w:rsidR="00481F72" w:rsidRPr="00481F72" w:rsidRDefault="00826421" w:rsidP="00BD4E88">
      <w:pPr>
        <w:numPr>
          <w:ilvl w:val="0"/>
          <w:numId w:val="15"/>
        </w:numPr>
        <w:spacing w:after="120"/>
        <w:rPr>
          <w:color w:val="auto"/>
          <w:sz w:val="18"/>
          <w:szCs w:val="18"/>
        </w:rPr>
      </w:pPr>
      <w:bookmarkStart w:id="187" w:name="_Hlk13234749"/>
      <w:r w:rsidRPr="00481F72">
        <w:rPr>
          <w:color w:val="auto"/>
          <w:sz w:val="18"/>
          <w:szCs w:val="18"/>
          <w:lang w:val="en-US"/>
        </w:rPr>
        <w:t xml:space="preserve">MHCLG’s guidance on housing for older and disabled people states that the need to provide housing for older people is critical. People are living longer lives and the proportion of older people in the population is increasing. In mid-2016 there were 1.6 million people aged 85 and over; by mid-2041 this is projected to double to 3.2 million. </w:t>
      </w:r>
    </w:p>
    <w:p w14:paraId="554C52C4" w14:textId="145FC59B" w:rsidR="00555145" w:rsidRPr="00481F72" w:rsidRDefault="00A1397B" w:rsidP="00BD4E88">
      <w:pPr>
        <w:numPr>
          <w:ilvl w:val="0"/>
          <w:numId w:val="15"/>
        </w:numPr>
        <w:spacing w:after="120"/>
        <w:rPr>
          <w:color w:val="auto"/>
          <w:sz w:val="18"/>
          <w:szCs w:val="18"/>
        </w:rPr>
      </w:pPr>
      <w:r w:rsidRPr="00481F72">
        <w:rPr>
          <w:color w:val="auto"/>
          <w:sz w:val="18"/>
          <w:szCs w:val="18"/>
          <w:lang w:val="en-US"/>
        </w:rPr>
        <w:t xml:space="preserve">Almost a third of UK homes are occupied by </w:t>
      </w:r>
      <w:r w:rsidR="00481F72" w:rsidRPr="00481F72">
        <w:rPr>
          <w:color w:val="auto"/>
          <w:sz w:val="18"/>
          <w:szCs w:val="18"/>
          <w:lang w:val="en-US"/>
        </w:rPr>
        <w:t xml:space="preserve">the </w:t>
      </w:r>
      <w:r w:rsidRPr="00481F72">
        <w:rPr>
          <w:color w:val="auto"/>
          <w:sz w:val="18"/>
          <w:szCs w:val="18"/>
          <w:lang w:val="en-US"/>
        </w:rPr>
        <w:t>55+ age group</w:t>
      </w:r>
      <w:r w:rsidR="00481F72" w:rsidRPr="00481F72">
        <w:rPr>
          <w:color w:val="auto"/>
          <w:sz w:val="18"/>
          <w:szCs w:val="18"/>
          <w:lang w:val="en-US"/>
        </w:rPr>
        <w:t>, yet onl</w:t>
      </w:r>
      <w:r w:rsidR="00217946" w:rsidRPr="00481F72">
        <w:rPr>
          <w:color w:val="auto"/>
          <w:sz w:val="18"/>
          <w:szCs w:val="18"/>
          <w:lang w:val="en-US"/>
        </w:rPr>
        <w:t xml:space="preserve">y 7% of UK stock </w:t>
      </w:r>
      <w:r w:rsidR="00481F72" w:rsidRPr="00481F72">
        <w:rPr>
          <w:color w:val="auto"/>
          <w:sz w:val="18"/>
          <w:szCs w:val="18"/>
          <w:lang w:val="en-US"/>
        </w:rPr>
        <w:t xml:space="preserve">is </w:t>
      </w:r>
      <w:r w:rsidR="00217946" w:rsidRPr="00481F72">
        <w:rPr>
          <w:color w:val="auto"/>
          <w:sz w:val="18"/>
          <w:szCs w:val="18"/>
          <w:lang w:val="en-US"/>
        </w:rPr>
        <w:t>currently recognised as meeting minimum accessibility standards</w:t>
      </w:r>
      <w:r w:rsidR="00481F72" w:rsidRPr="00481F72">
        <w:rPr>
          <w:color w:val="auto"/>
          <w:sz w:val="18"/>
          <w:szCs w:val="18"/>
          <w:lang w:val="en-US"/>
        </w:rPr>
        <w:t>,</w:t>
      </w:r>
      <w:r w:rsidR="00217946" w:rsidRPr="00481F72">
        <w:rPr>
          <w:color w:val="auto"/>
          <w:sz w:val="18"/>
          <w:szCs w:val="18"/>
          <w:lang w:val="en-US"/>
        </w:rPr>
        <w:t xml:space="preserve"> </w:t>
      </w:r>
      <w:r w:rsidR="00BD4E88" w:rsidRPr="00481F72">
        <w:rPr>
          <w:color w:val="auto"/>
          <w:sz w:val="18"/>
          <w:szCs w:val="18"/>
          <w:lang w:val="en-US"/>
        </w:rPr>
        <w:t xml:space="preserve">which </w:t>
      </w:r>
      <w:r w:rsidR="00217946" w:rsidRPr="00481F72">
        <w:rPr>
          <w:color w:val="auto"/>
          <w:sz w:val="18"/>
          <w:szCs w:val="18"/>
          <w:lang w:val="en-US"/>
        </w:rPr>
        <w:t>means few older people can find options that will improve their quality of life</w:t>
      </w:r>
      <w:r w:rsidR="00481F72" w:rsidRPr="00481F72">
        <w:rPr>
          <w:color w:val="auto"/>
          <w:sz w:val="18"/>
          <w:szCs w:val="18"/>
          <w:lang w:val="en-US"/>
        </w:rPr>
        <w:t>. This is reflected in evidence that</w:t>
      </w:r>
      <w:r w:rsidR="00217946" w:rsidRPr="00481F72">
        <w:rPr>
          <w:color w:val="auto"/>
          <w:sz w:val="18"/>
          <w:szCs w:val="18"/>
          <w:lang w:val="en-US"/>
        </w:rPr>
        <w:t xml:space="preserve"> just </w:t>
      </w:r>
      <w:r w:rsidR="00217946" w:rsidRPr="00481F72">
        <w:rPr>
          <w:bCs/>
          <w:color w:val="auto"/>
          <w:sz w:val="18"/>
          <w:szCs w:val="18"/>
          <w:lang w:val="en-US"/>
        </w:rPr>
        <w:t xml:space="preserve">3.4% of 50+ </w:t>
      </w:r>
      <w:r w:rsidR="00481F72" w:rsidRPr="00481F72">
        <w:rPr>
          <w:bCs/>
          <w:color w:val="auto"/>
          <w:sz w:val="18"/>
          <w:szCs w:val="18"/>
          <w:lang w:val="en-US"/>
        </w:rPr>
        <w:t xml:space="preserve">households </w:t>
      </w:r>
      <w:r w:rsidR="00217946" w:rsidRPr="00481F72">
        <w:rPr>
          <w:color w:val="auto"/>
          <w:sz w:val="18"/>
          <w:szCs w:val="18"/>
          <w:lang w:val="en-US"/>
        </w:rPr>
        <w:t>mov</w:t>
      </w:r>
      <w:r w:rsidR="00481F72" w:rsidRPr="00481F72">
        <w:rPr>
          <w:color w:val="auto"/>
          <w:sz w:val="18"/>
          <w:szCs w:val="18"/>
          <w:lang w:val="en-US"/>
        </w:rPr>
        <w:t>e</w:t>
      </w:r>
      <w:r w:rsidR="00217946" w:rsidRPr="00481F72">
        <w:rPr>
          <w:color w:val="auto"/>
          <w:sz w:val="18"/>
          <w:szCs w:val="18"/>
          <w:lang w:val="en-US"/>
        </w:rPr>
        <w:t xml:space="preserve"> home e</w:t>
      </w:r>
      <w:r w:rsidR="00481F72" w:rsidRPr="00481F72">
        <w:rPr>
          <w:color w:val="auto"/>
          <w:sz w:val="18"/>
          <w:szCs w:val="18"/>
          <w:lang w:val="en-US"/>
        </w:rPr>
        <w:t>ach</w:t>
      </w:r>
      <w:r w:rsidR="00217946" w:rsidRPr="00481F72">
        <w:rPr>
          <w:color w:val="auto"/>
          <w:sz w:val="18"/>
          <w:szCs w:val="18"/>
          <w:lang w:val="en-US"/>
        </w:rPr>
        <w:t xml:space="preserve"> year</w:t>
      </w:r>
      <w:r w:rsidR="00481F72" w:rsidRPr="00481F72">
        <w:rPr>
          <w:color w:val="auto"/>
          <w:sz w:val="18"/>
          <w:szCs w:val="18"/>
          <w:lang w:val="en-US"/>
        </w:rPr>
        <w:t>,</w:t>
      </w:r>
      <w:r w:rsidR="00217946" w:rsidRPr="00481F72">
        <w:rPr>
          <w:color w:val="auto"/>
          <w:sz w:val="18"/>
          <w:szCs w:val="18"/>
          <w:lang w:val="en-US"/>
        </w:rPr>
        <w:t xml:space="preserve"> </w:t>
      </w:r>
      <w:r w:rsidR="00BD4E88" w:rsidRPr="00481F72">
        <w:rPr>
          <w:color w:val="auto"/>
          <w:sz w:val="18"/>
          <w:szCs w:val="18"/>
          <w:lang w:val="en-US"/>
        </w:rPr>
        <w:t xml:space="preserve">which is </w:t>
      </w:r>
      <w:r w:rsidR="00217946" w:rsidRPr="00481F72">
        <w:rPr>
          <w:bCs/>
          <w:color w:val="auto"/>
          <w:sz w:val="18"/>
          <w:szCs w:val="18"/>
          <w:lang w:val="en-US"/>
        </w:rPr>
        <w:t>half as many moves as rest of population</w:t>
      </w:r>
      <w:r w:rsidR="00BD4E88" w:rsidRPr="00481F72">
        <w:rPr>
          <w:color w:val="auto"/>
          <w:sz w:val="18"/>
          <w:szCs w:val="18"/>
        </w:rPr>
        <w:t>.</w:t>
      </w:r>
      <w:r w:rsidR="00217946" w:rsidRPr="00481F72">
        <w:rPr>
          <w:color w:val="auto"/>
          <w:sz w:val="18"/>
          <w:szCs w:val="18"/>
        </w:rPr>
        <w:t xml:space="preserve"> </w:t>
      </w:r>
      <w:r w:rsidR="00BA41FF" w:rsidRPr="00481F72">
        <w:rPr>
          <w:color w:val="auto"/>
          <w:sz w:val="18"/>
          <w:szCs w:val="18"/>
        </w:rPr>
        <w:t>Perhaps surprisingly</w:t>
      </w:r>
      <w:r w:rsidR="00481F72" w:rsidRPr="00481F72">
        <w:rPr>
          <w:color w:val="auto"/>
          <w:sz w:val="18"/>
          <w:szCs w:val="18"/>
        </w:rPr>
        <w:t>, just</w:t>
      </w:r>
      <w:r w:rsidR="00BD4E88" w:rsidRPr="00481F72">
        <w:rPr>
          <w:color w:val="auto"/>
          <w:sz w:val="18"/>
          <w:szCs w:val="18"/>
        </w:rPr>
        <w:t xml:space="preserve"> under </w:t>
      </w:r>
      <w:r w:rsidR="00217946" w:rsidRPr="00481F72">
        <w:rPr>
          <w:bCs/>
          <w:color w:val="auto"/>
          <w:sz w:val="18"/>
          <w:szCs w:val="18"/>
          <w:lang w:val="en-US"/>
        </w:rPr>
        <w:t xml:space="preserve">half </w:t>
      </w:r>
      <w:r w:rsidR="00217946" w:rsidRPr="00481F72">
        <w:rPr>
          <w:color w:val="auto"/>
          <w:sz w:val="18"/>
          <w:szCs w:val="18"/>
          <w:lang w:val="en-US"/>
        </w:rPr>
        <w:t xml:space="preserve">of moves </w:t>
      </w:r>
      <w:r w:rsidR="00BD4E88" w:rsidRPr="00481F72">
        <w:rPr>
          <w:color w:val="auto"/>
          <w:sz w:val="18"/>
          <w:szCs w:val="18"/>
          <w:lang w:val="en-US"/>
        </w:rPr>
        <w:t>result in fewer habitable rooms</w:t>
      </w:r>
      <w:r w:rsidR="00D9182E">
        <w:rPr>
          <w:color w:val="auto"/>
          <w:sz w:val="18"/>
          <w:szCs w:val="18"/>
          <w:lang w:val="en-US"/>
        </w:rPr>
        <w:t xml:space="preserve"> because many older people need or want to retain space for activities, to retain a life time of possessions, accommodating visitors or caring for grandchildren. For</w:t>
      </w:r>
      <w:r w:rsidR="00BD4E88" w:rsidRPr="00481F72">
        <w:rPr>
          <w:color w:val="auto"/>
          <w:sz w:val="18"/>
          <w:szCs w:val="18"/>
          <w:lang w:val="en-US"/>
        </w:rPr>
        <w:t xml:space="preserve"> some</w:t>
      </w:r>
      <w:r w:rsidR="00D9182E">
        <w:rPr>
          <w:color w:val="auto"/>
          <w:sz w:val="18"/>
          <w:szCs w:val="18"/>
          <w:lang w:val="en-US"/>
        </w:rPr>
        <w:t>,</w:t>
      </w:r>
      <w:r w:rsidR="00BD4E88" w:rsidRPr="00481F72">
        <w:rPr>
          <w:color w:val="auto"/>
          <w:sz w:val="18"/>
          <w:szCs w:val="18"/>
          <w:lang w:val="en-US"/>
        </w:rPr>
        <w:t xml:space="preserve"> </w:t>
      </w:r>
      <w:r w:rsidR="00217946" w:rsidRPr="00481F72">
        <w:rPr>
          <w:color w:val="auto"/>
          <w:sz w:val="18"/>
          <w:szCs w:val="18"/>
          <w:lang w:val="en-US"/>
        </w:rPr>
        <w:t xml:space="preserve">social status </w:t>
      </w:r>
      <w:r w:rsidR="00C12812" w:rsidRPr="00481F72">
        <w:rPr>
          <w:color w:val="auto"/>
          <w:sz w:val="18"/>
          <w:szCs w:val="18"/>
          <w:lang w:val="en-US"/>
        </w:rPr>
        <w:t>can be</w:t>
      </w:r>
      <w:r w:rsidR="00BD4E88" w:rsidRPr="00481F72">
        <w:rPr>
          <w:color w:val="auto"/>
          <w:sz w:val="18"/>
          <w:szCs w:val="18"/>
          <w:lang w:val="en-US"/>
        </w:rPr>
        <w:t xml:space="preserve"> a </w:t>
      </w:r>
      <w:r w:rsidR="00BA41FF" w:rsidRPr="00481F72">
        <w:rPr>
          <w:color w:val="auto"/>
          <w:sz w:val="18"/>
          <w:szCs w:val="18"/>
          <w:lang w:val="en-US"/>
        </w:rPr>
        <w:t>in deciding to move to a</w:t>
      </w:r>
      <w:r w:rsidR="00C12812" w:rsidRPr="00481F72">
        <w:rPr>
          <w:color w:val="auto"/>
          <w:sz w:val="18"/>
          <w:szCs w:val="18"/>
          <w:lang w:val="en-US"/>
        </w:rPr>
        <w:t xml:space="preserve"> home with significantly fewer rooms</w:t>
      </w:r>
      <w:r w:rsidR="00481F72" w:rsidRPr="00481F72">
        <w:rPr>
          <w:color w:val="auto"/>
          <w:sz w:val="18"/>
          <w:szCs w:val="18"/>
          <w:lang w:val="en-US"/>
        </w:rPr>
        <w:t>.</w:t>
      </w:r>
      <w:r w:rsidR="00BA41FF" w:rsidRPr="00481F72">
        <w:rPr>
          <w:rStyle w:val="FootnoteReference"/>
          <w:sz w:val="18"/>
          <w:szCs w:val="18"/>
          <w:lang w:val="en-US"/>
        </w:rPr>
        <w:footnoteReference w:id="54"/>
      </w:r>
    </w:p>
    <w:p w14:paraId="71208CEA" w14:textId="5A5E84A4" w:rsidR="00BD4E88" w:rsidRPr="00481F72" w:rsidRDefault="00BD4E88" w:rsidP="00C12812">
      <w:pPr>
        <w:numPr>
          <w:ilvl w:val="0"/>
          <w:numId w:val="15"/>
        </w:numPr>
        <w:spacing w:after="120"/>
        <w:rPr>
          <w:color w:val="auto"/>
          <w:sz w:val="18"/>
          <w:szCs w:val="18"/>
        </w:rPr>
      </w:pPr>
      <w:r w:rsidRPr="00481F72">
        <w:rPr>
          <w:color w:val="auto"/>
          <w:sz w:val="18"/>
          <w:szCs w:val="18"/>
          <w:lang w:val="en-US"/>
        </w:rPr>
        <w:t>The concept of ‘rightsizing’ (formally referred to as downsizing) recognizes that the situations, desires and needs of the older population are no less diverse than their famil</w:t>
      </w:r>
      <w:r w:rsidR="00481F72" w:rsidRPr="00481F72">
        <w:rPr>
          <w:color w:val="auto"/>
          <w:sz w:val="18"/>
          <w:szCs w:val="18"/>
          <w:lang w:val="en-US"/>
        </w:rPr>
        <w:t>y circumstances</w:t>
      </w:r>
      <w:r w:rsidRPr="00481F72">
        <w:rPr>
          <w:color w:val="auto"/>
          <w:sz w:val="18"/>
          <w:szCs w:val="18"/>
          <w:lang w:val="en-US"/>
        </w:rPr>
        <w:t xml:space="preserve">. </w:t>
      </w:r>
      <w:r w:rsidR="00217946" w:rsidRPr="00481F72">
        <w:rPr>
          <w:color w:val="auto"/>
          <w:sz w:val="18"/>
          <w:szCs w:val="18"/>
          <w:lang w:val="en-US"/>
        </w:rPr>
        <w:t>The actual choices available to older people</w:t>
      </w:r>
      <w:r w:rsidR="00481F72" w:rsidRPr="00481F72">
        <w:rPr>
          <w:color w:val="auto"/>
          <w:sz w:val="18"/>
          <w:szCs w:val="18"/>
          <w:lang w:val="en-US"/>
        </w:rPr>
        <w:t>,</w:t>
      </w:r>
      <w:r w:rsidR="00217946" w:rsidRPr="00481F72">
        <w:rPr>
          <w:color w:val="auto"/>
          <w:sz w:val="18"/>
          <w:szCs w:val="18"/>
          <w:lang w:val="en-US"/>
        </w:rPr>
        <w:t xml:space="preserve"> </w:t>
      </w:r>
      <w:r w:rsidRPr="00481F72">
        <w:rPr>
          <w:color w:val="auto"/>
          <w:sz w:val="18"/>
          <w:szCs w:val="18"/>
          <w:lang w:val="en-US"/>
        </w:rPr>
        <w:t>however</w:t>
      </w:r>
      <w:r w:rsidR="00481F72" w:rsidRPr="00481F72">
        <w:rPr>
          <w:color w:val="auto"/>
          <w:sz w:val="18"/>
          <w:szCs w:val="18"/>
          <w:lang w:val="en-US"/>
        </w:rPr>
        <w:t>,</w:t>
      </w:r>
      <w:r w:rsidRPr="00481F72">
        <w:rPr>
          <w:color w:val="auto"/>
          <w:sz w:val="18"/>
          <w:szCs w:val="18"/>
          <w:lang w:val="en-US"/>
        </w:rPr>
        <w:t xml:space="preserve"> </w:t>
      </w:r>
      <w:r w:rsidR="00217946" w:rsidRPr="00481F72">
        <w:rPr>
          <w:color w:val="auto"/>
          <w:sz w:val="18"/>
          <w:szCs w:val="18"/>
          <w:lang w:val="en-US"/>
        </w:rPr>
        <w:t xml:space="preserve">are limited to the housing provisions that are both available and accessible to them. </w:t>
      </w:r>
      <w:r w:rsidR="0011536F" w:rsidRPr="00481F72">
        <w:rPr>
          <w:color w:val="auto"/>
          <w:sz w:val="18"/>
          <w:szCs w:val="18"/>
        </w:rPr>
        <w:t>Not surpr</w:t>
      </w:r>
      <w:r w:rsidRPr="00481F72">
        <w:rPr>
          <w:color w:val="auto"/>
          <w:sz w:val="18"/>
          <w:szCs w:val="18"/>
        </w:rPr>
        <w:t xml:space="preserve">isingly </w:t>
      </w:r>
      <w:r w:rsidRPr="00481F72">
        <w:rPr>
          <w:color w:val="auto"/>
          <w:sz w:val="18"/>
          <w:szCs w:val="18"/>
          <w:lang w:val="en-US"/>
        </w:rPr>
        <w:t>t</w:t>
      </w:r>
      <w:r w:rsidR="00217946" w:rsidRPr="00481F72">
        <w:rPr>
          <w:color w:val="auto"/>
          <w:sz w:val="18"/>
          <w:szCs w:val="18"/>
          <w:lang w:val="en-US"/>
        </w:rPr>
        <w:t>he vast majority of older people currently tend to age in place until circumstances mean their home environment becomes a decisive barrier to their well-being. Research indicates that very few properties are designed to support ageing in place</w:t>
      </w:r>
      <w:r w:rsidR="00C12812" w:rsidRPr="00481F72">
        <w:rPr>
          <w:color w:val="auto"/>
          <w:sz w:val="18"/>
          <w:szCs w:val="18"/>
          <w:lang w:val="en-US"/>
        </w:rPr>
        <w:t xml:space="preserve"> (</w:t>
      </w:r>
      <w:r w:rsidR="00217946" w:rsidRPr="00481F72">
        <w:rPr>
          <w:color w:val="auto"/>
          <w:sz w:val="18"/>
          <w:szCs w:val="18"/>
          <w:lang w:val="en-US"/>
        </w:rPr>
        <w:t>see below</w:t>
      </w:r>
      <w:r w:rsidR="00C12812" w:rsidRPr="00481F72">
        <w:rPr>
          <w:color w:val="auto"/>
          <w:sz w:val="18"/>
          <w:szCs w:val="18"/>
          <w:lang w:val="en-US"/>
        </w:rPr>
        <w:t>)</w:t>
      </w:r>
      <w:r w:rsidR="00217946" w:rsidRPr="00481F72">
        <w:rPr>
          <w:color w:val="auto"/>
          <w:sz w:val="18"/>
          <w:szCs w:val="18"/>
          <w:lang w:val="en-US"/>
        </w:rPr>
        <w:t xml:space="preserve">. </w:t>
      </w:r>
      <w:r w:rsidR="00C12812" w:rsidRPr="00481F72">
        <w:rPr>
          <w:color w:val="auto"/>
          <w:sz w:val="18"/>
          <w:szCs w:val="18"/>
        </w:rPr>
        <w:t xml:space="preserve">Thus </w:t>
      </w:r>
      <w:r w:rsidR="00C12812" w:rsidRPr="00481F72">
        <w:rPr>
          <w:color w:val="auto"/>
          <w:sz w:val="18"/>
          <w:szCs w:val="18"/>
          <w:lang w:val="en-US"/>
        </w:rPr>
        <w:t>w</w:t>
      </w:r>
      <w:r w:rsidRPr="00481F72">
        <w:rPr>
          <w:color w:val="auto"/>
          <w:sz w:val="18"/>
          <w:szCs w:val="18"/>
          <w:lang w:val="en-US"/>
        </w:rPr>
        <w:t xml:space="preserve">hilst many people do not wish to move home, there is </w:t>
      </w:r>
      <w:r w:rsidR="00C12812" w:rsidRPr="00481F72">
        <w:rPr>
          <w:color w:val="auto"/>
          <w:sz w:val="18"/>
          <w:szCs w:val="18"/>
          <w:lang w:val="en-US"/>
        </w:rPr>
        <w:t xml:space="preserve">also </w:t>
      </w:r>
      <w:r w:rsidRPr="00481F72">
        <w:rPr>
          <w:color w:val="auto"/>
          <w:sz w:val="18"/>
          <w:szCs w:val="18"/>
          <w:lang w:val="en-US"/>
        </w:rPr>
        <w:t>evidence that there is large scale unmet demand to move</w:t>
      </w:r>
      <w:r w:rsidR="00217946" w:rsidRPr="00481F72">
        <w:rPr>
          <w:rStyle w:val="FootnoteReference"/>
          <w:sz w:val="18"/>
          <w:szCs w:val="18"/>
          <w:lang w:val="en-US"/>
        </w:rPr>
        <w:footnoteReference w:id="55"/>
      </w:r>
      <w:r w:rsidR="00217946" w:rsidRPr="00481F72">
        <w:rPr>
          <w:color w:val="auto"/>
          <w:sz w:val="18"/>
          <w:szCs w:val="18"/>
          <w:lang w:val="en-US"/>
        </w:rPr>
        <w:t xml:space="preserve"> </w:t>
      </w:r>
      <w:r w:rsidR="00C574FB">
        <w:rPr>
          <w:color w:val="auto"/>
          <w:sz w:val="18"/>
          <w:szCs w:val="18"/>
          <w:lang w:val="en-US"/>
        </w:rPr>
        <w:t>with many</w:t>
      </w:r>
      <w:r w:rsidR="00217946" w:rsidRPr="00481F72">
        <w:rPr>
          <w:color w:val="auto"/>
          <w:sz w:val="18"/>
          <w:szCs w:val="18"/>
          <w:lang w:val="en-US"/>
        </w:rPr>
        <w:t xml:space="preserve"> older people stuck in a ‘rightsizing gap’.</w:t>
      </w:r>
      <w:r w:rsidR="0026561D" w:rsidRPr="00481F72">
        <w:rPr>
          <w:rStyle w:val="FootnoteReference"/>
          <w:sz w:val="18"/>
          <w:szCs w:val="18"/>
          <w:lang w:val="en-US"/>
        </w:rPr>
        <w:footnoteReference w:id="56"/>
      </w:r>
    </w:p>
    <w:p w14:paraId="69492C33" w14:textId="68BB15D5" w:rsidR="00C12812" w:rsidRPr="00826421" w:rsidRDefault="00C12812" w:rsidP="00C12812">
      <w:pPr>
        <w:numPr>
          <w:ilvl w:val="0"/>
          <w:numId w:val="15"/>
        </w:numPr>
        <w:spacing w:after="120"/>
        <w:rPr>
          <w:rFonts w:eastAsia="SimSun"/>
          <w:sz w:val="18"/>
          <w:szCs w:val="18"/>
          <w:lang w:val="en-US"/>
        </w:rPr>
      </w:pPr>
      <w:r w:rsidRPr="00826421">
        <w:rPr>
          <w:rFonts w:eastAsia="SimSun"/>
          <w:sz w:val="18"/>
          <w:szCs w:val="18"/>
          <w:lang w:val="en-US"/>
        </w:rPr>
        <w:t>A Demos survey of over 60s conducted in 2013 found a “considerable appetite” amongst this age group to move to a new property, with one quarter of all those surveyed suggesting they would be interested in buying a specialist property, and one quarter considering renting a specialist home.</w:t>
      </w:r>
      <w:r w:rsidRPr="00826421">
        <w:rPr>
          <w:rFonts w:eastAsia="SimSun"/>
          <w:sz w:val="18"/>
          <w:szCs w:val="18"/>
          <w:vertAlign w:val="superscript"/>
          <w:lang w:val="en-US"/>
        </w:rPr>
        <w:footnoteReference w:id="57"/>
      </w:r>
      <w:r w:rsidRPr="00826421">
        <w:rPr>
          <w:rFonts w:eastAsia="SimSun"/>
          <w:sz w:val="18"/>
          <w:szCs w:val="18"/>
          <w:lang w:val="en-US"/>
        </w:rPr>
        <w:t xml:space="preserve"> </w:t>
      </w:r>
    </w:p>
    <w:p w14:paraId="37319A96" w14:textId="7A89B9CF" w:rsidR="00C12812" w:rsidRPr="00826421" w:rsidRDefault="00C12812" w:rsidP="00C12812">
      <w:pPr>
        <w:numPr>
          <w:ilvl w:val="0"/>
          <w:numId w:val="15"/>
        </w:numPr>
        <w:spacing w:after="120"/>
        <w:rPr>
          <w:rFonts w:eastAsia="SimSun"/>
          <w:sz w:val="18"/>
          <w:szCs w:val="18"/>
          <w:lang w:val="en-US"/>
        </w:rPr>
      </w:pPr>
      <w:r w:rsidRPr="00826421">
        <w:rPr>
          <w:rFonts w:eastAsia="SimSun"/>
          <w:sz w:val="18"/>
          <w:szCs w:val="18"/>
          <w:lang w:val="en-US"/>
        </w:rPr>
        <w:t xml:space="preserve">Indeed, 76% of those in homes of three or more bedrooms wished to </w:t>
      </w:r>
      <w:r>
        <w:rPr>
          <w:rFonts w:eastAsia="SimSun"/>
          <w:sz w:val="18"/>
          <w:szCs w:val="18"/>
          <w:lang w:val="en-US"/>
        </w:rPr>
        <w:t>rightsize</w:t>
      </w:r>
      <w:r w:rsidRPr="00826421">
        <w:rPr>
          <w:rFonts w:eastAsia="SimSun"/>
          <w:sz w:val="18"/>
          <w:szCs w:val="18"/>
          <w:lang w:val="en-US"/>
        </w:rPr>
        <w:t>, and this increased to 99% of those in homes of five or more bedrooms, with two bedrooms the preferred choice for both.</w:t>
      </w:r>
      <w:r w:rsidRPr="00826421">
        <w:rPr>
          <w:rFonts w:eastAsia="SimSun"/>
          <w:sz w:val="18"/>
          <w:szCs w:val="18"/>
          <w:vertAlign w:val="superscript"/>
          <w:lang w:val="en-US"/>
        </w:rPr>
        <w:footnoteReference w:id="58"/>
      </w:r>
      <w:r w:rsidRPr="00826421">
        <w:rPr>
          <w:rFonts w:eastAsia="SimSun"/>
          <w:sz w:val="18"/>
          <w:szCs w:val="18"/>
          <w:lang w:val="en-US"/>
        </w:rPr>
        <w:t xml:space="preserve"> However, in spite of evidence of high demand, currently only 5% of </w:t>
      </w:r>
      <w:r w:rsidR="00C574FB">
        <w:rPr>
          <w:rFonts w:eastAsia="SimSun"/>
          <w:sz w:val="18"/>
          <w:szCs w:val="18"/>
          <w:lang w:val="en-US"/>
        </w:rPr>
        <w:t>older</w:t>
      </w:r>
      <w:r w:rsidR="00C574FB" w:rsidRPr="00826421">
        <w:rPr>
          <w:rFonts w:eastAsia="SimSun"/>
          <w:sz w:val="18"/>
          <w:szCs w:val="18"/>
          <w:lang w:val="en-US"/>
        </w:rPr>
        <w:t xml:space="preserve"> </w:t>
      </w:r>
      <w:r w:rsidRPr="00826421">
        <w:rPr>
          <w:rFonts w:eastAsia="SimSun"/>
          <w:sz w:val="18"/>
          <w:szCs w:val="18"/>
          <w:lang w:val="en-US"/>
        </w:rPr>
        <w:t>people’s housing is made up of specialist homes,</w:t>
      </w:r>
      <w:r w:rsidRPr="00826421">
        <w:rPr>
          <w:rFonts w:eastAsia="SimSun"/>
          <w:sz w:val="18"/>
          <w:szCs w:val="18"/>
          <w:vertAlign w:val="superscript"/>
          <w:lang w:val="en-US"/>
        </w:rPr>
        <w:footnoteReference w:id="59"/>
      </w:r>
      <w:r w:rsidRPr="00826421">
        <w:rPr>
          <w:rFonts w:eastAsia="SimSun"/>
          <w:sz w:val="18"/>
          <w:szCs w:val="18"/>
          <w:lang w:val="en-US"/>
        </w:rPr>
        <w:t xml:space="preserve"> with Demos suggesting that</w:t>
      </w:r>
      <w:r>
        <w:rPr>
          <w:rFonts w:eastAsia="SimSun"/>
          <w:sz w:val="18"/>
          <w:szCs w:val="18"/>
          <w:lang w:val="en-US"/>
        </w:rPr>
        <w:t>,</w:t>
      </w:r>
      <w:r w:rsidRPr="00826421">
        <w:rPr>
          <w:rFonts w:eastAsia="SimSun"/>
          <w:sz w:val="18"/>
          <w:szCs w:val="18"/>
          <w:lang w:val="en-US"/>
        </w:rPr>
        <w:t xml:space="preserve"> “the chronic under-supply of appropriate housing for older people is the UK’s next housing crisis”,</w:t>
      </w:r>
      <w:r w:rsidRPr="00826421">
        <w:rPr>
          <w:rFonts w:eastAsia="SimSun"/>
          <w:sz w:val="18"/>
          <w:szCs w:val="18"/>
          <w:vertAlign w:val="superscript"/>
          <w:lang w:val="en-US"/>
        </w:rPr>
        <w:footnoteReference w:id="60"/>
      </w:r>
      <w:r w:rsidRPr="00826421">
        <w:rPr>
          <w:rFonts w:eastAsia="SimSun"/>
          <w:sz w:val="18"/>
          <w:szCs w:val="18"/>
          <w:lang w:val="en-US"/>
        </w:rPr>
        <w:t xml:space="preserve"> and local authorities </w:t>
      </w:r>
      <w:r w:rsidR="00481F72">
        <w:rPr>
          <w:rFonts w:eastAsia="SimSun"/>
          <w:sz w:val="18"/>
          <w:szCs w:val="18"/>
          <w:lang w:val="en-US"/>
        </w:rPr>
        <w:t xml:space="preserve">are </w:t>
      </w:r>
      <w:r w:rsidRPr="00826421">
        <w:rPr>
          <w:rFonts w:eastAsia="SimSun"/>
          <w:sz w:val="18"/>
          <w:szCs w:val="18"/>
          <w:lang w:val="en-US"/>
        </w:rPr>
        <w:t>often</w:t>
      </w:r>
      <w:r>
        <w:rPr>
          <w:rFonts w:eastAsia="SimSun"/>
          <w:sz w:val="18"/>
          <w:szCs w:val="18"/>
          <w:lang w:val="en-US"/>
        </w:rPr>
        <w:t>,</w:t>
      </w:r>
      <w:r w:rsidRPr="00826421">
        <w:rPr>
          <w:rFonts w:eastAsia="SimSun"/>
          <w:sz w:val="18"/>
          <w:szCs w:val="18"/>
          <w:lang w:val="en-US"/>
        </w:rPr>
        <w:t xml:space="preserve"> “accused of reluctance to approve development plans for specialist housing….out of fear of increased care costs”.</w:t>
      </w:r>
      <w:r w:rsidRPr="00826421">
        <w:rPr>
          <w:rFonts w:eastAsia="SimSun"/>
          <w:sz w:val="18"/>
          <w:szCs w:val="18"/>
          <w:vertAlign w:val="superscript"/>
          <w:lang w:val="en-US"/>
        </w:rPr>
        <w:footnoteReference w:id="61"/>
      </w:r>
      <w:r w:rsidRPr="00826421">
        <w:rPr>
          <w:rFonts w:eastAsia="SimSun"/>
          <w:sz w:val="18"/>
          <w:szCs w:val="18"/>
          <w:lang w:val="en-US"/>
        </w:rPr>
        <w:t xml:space="preserve"> Indeed, whilst many of those surveyed may consider moving, the percentage that ultimately do is likely to be relatively low, and many who downsize may move into </w:t>
      </w:r>
      <w:r w:rsidR="00C574FB">
        <w:rPr>
          <w:rFonts w:eastAsia="SimSun"/>
          <w:sz w:val="18"/>
          <w:szCs w:val="18"/>
          <w:lang w:val="en-US"/>
        </w:rPr>
        <w:t>mainstream</w:t>
      </w:r>
      <w:r w:rsidRPr="00826421">
        <w:rPr>
          <w:rFonts w:eastAsia="SimSun"/>
          <w:sz w:val="18"/>
          <w:szCs w:val="18"/>
          <w:lang w:val="en-US"/>
        </w:rPr>
        <w:t xml:space="preserve"> housing.</w:t>
      </w:r>
    </w:p>
    <w:p w14:paraId="176CA357" w14:textId="2B19EF1E" w:rsidR="00826421" w:rsidRPr="00826421" w:rsidRDefault="00826421" w:rsidP="00826421">
      <w:pPr>
        <w:numPr>
          <w:ilvl w:val="0"/>
          <w:numId w:val="15"/>
        </w:numPr>
        <w:spacing w:after="120"/>
        <w:rPr>
          <w:sz w:val="18"/>
          <w:szCs w:val="18"/>
          <w:lang w:val="en-US"/>
        </w:rPr>
      </w:pPr>
      <w:r w:rsidRPr="00826421">
        <w:rPr>
          <w:sz w:val="18"/>
          <w:szCs w:val="18"/>
          <w:lang w:val="en-US"/>
        </w:rPr>
        <w:t xml:space="preserve">Offering older people a better choice of accommodation to suit their changing needs can help them live independently for longer, feel more connected to their communities and help reduce costs to the social care and health systems. Therefore, an understanding of how the ageing population </w:t>
      </w:r>
      <w:r w:rsidR="00C12812">
        <w:rPr>
          <w:sz w:val="18"/>
          <w:szCs w:val="18"/>
          <w:lang w:val="en-US"/>
        </w:rPr>
        <w:t xml:space="preserve">in </w:t>
      </w:r>
      <w:r w:rsidR="008B066F">
        <w:rPr>
          <w:sz w:val="18"/>
          <w:szCs w:val="18"/>
          <w:lang w:val="en-US"/>
        </w:rPr>
        <w:t>Weymouth</w:t>
      </w:r>
      <w:r w:rsidR="00C12812">
        <w:rPr>
          <w:sz w:val="18"/>
          <w:szCs w:val="18"/>
          <w:lang w:val="en-US"/>
        </w:rPr>
        <w:t xml:space="preserve"> </w:t>
      </w:r>
      <w:r w:rsidRPr="00826421">
        <w:rPr>
          <w:sz w:val="18"/>
          <w:szCs w:val="18"/>
          <w:lang w:val="en-US"/>
        </w:rPr>
        <w:t>affects housing needs is something to be considered from the early stages of plan-making through to decision-taking.</w:t>
      </w:r>
      <w:r w:rsidRPr="00826421">
        <w:rPr>
          <w:rFonts w:asciiTheme="majorHAnsi" w:hAnsiTheme="majorHAnsi"/>
          <w:color w:val="auto"/>
          <w:sz w:val="18"/>
          <w:szCs w:val="18"/>
          <w:vertAlign w:val="superscript"/>
          <w:lang w:val="en-US"/>
        </w:rPr>
        <w:footnoteReference w:id="62"/>
      </w:r>
    </w:p>
    <w:p w14:paraId="3DC30790" w14:textId="7E4F8A1D" w:rsidR="00826421" w:rsidRPr="00826421" w:rsidRDefault="00C574FB" w:rsidP="00826421">
      <w:pPr>
        <w:numPr>
          <w:ilvl w:val="0"/>
          <w:numId w:val="15"/>
        </w:numPr>
        <w:spacing w:after="120"/>
        <w:rPr>
          <w:sz w:val="18"/>
          <w:szCs w:val="18"/>
          <w:lang w:val="en-US"/>
        </w:rPr>
      </w:pPr>
      <w:r>
        <w:rPr>
          <w:sz w:val="18"/>
          <w:szCs w:val="18"/>
          <w:lang w:val="en-US"/>
        </w:rPr>
        <w:t xml:space="preserve">The need to access housing with support or care is often driven by health considerations, particularly disabilities. </w:t>
      </w:r>
      <w:r w:rsidR="00826421" w:rsidRPr="00826421">
        <w:rPr>
          <w:sz w:val="18"/>
          <w:szCs w:val="18"/>
          <w:lang w:val="en-US"/>
        </w:rPr>
        <w:t>Disabilities can include, but are not limited to, people with ambulatory difficulties, blindness, learning difficulties, autism and mental health needs, which may generate a range of housing requirements which can change over time. Unsuitable housing</w:t>
      </w:r>
      <w:r>
        <w:rPr>
          <w:sz w:val="18"/>
          <w:szCs w:val="18"/>
          <w:lang w:val="en-US"/>
        </w:rPr>
        <w:t xml:space="preserve"> or housing which is not capable of adaptation</w:t>
      </w:r>
      <w:r w:rsidR="00826421" w:rsidRPr="00826421">
        <w:rPr>
          <w:sz w:val="18"/>
          <w:szCs w:val="18"/>
          <w:lang w:val="en-US"/>
        </w:rPr>
        <w:t xml:space="preserve"> can have a negative impact on </w:t>
      </w:r>
      <w:r>
        <w:rPr>
          <w:sz w:val="18"/>
          <w:szCs w:val="18"/>
          <w:lang w:val="en-US"/>
        </w:rPr>
        <w:t>occupants</w:t>
      </w:r>
      <w:r w:rsidR="00826421" w:rsidRPr="00826421">
        <w:rPr>
          <w:sz w:val="18"/>
          <w:szCs w:val="18"/>
          <w:lang w:val="en-US"/>
        </w:rPr>
        <w:t xml:space="preserve"> and their </w:t>
      </w:r>
      <w:r w:rsidR="00826421" w:rsidRPr="00826421">
        <w:rPr>
          <w:sz w:val="18"/>
          <w:szCs w:val="18"/>
        </w:rPr>
        <w:t>carers</w:t>
      </w:r>
      <w:r w:rsidR="00826421" w:rsidRPr="00826421">
        <w:rPr>
          <w:sz w:val="18"/>
          <w:szCs w:val="18"/>
          <w:lang w:val="en-US"/>
        </w:rPr>
        <w:t xml:space="preserve">. </w:t>
      </w:r>
      <w:r>
        <w:rPr>
          <w:sz w:val="18"/>
          <w:szCs w:val="18"/>
          <w:lang w:val="en-US"/>
        </w:rPr>
        <w:t>Disability is strongly linked to age and a</w:t>
      </w:r>
      <w:r w:rsidR="00826421" w:rsidRPr="00826421">
        <w:rPr>
          <w:sz w:val="18"/>
          <w:szCs w:val="18"/>
          <w:lang w:val="en-US"/>
        </w:rPr>
        <w:t>n ageing population will see the numbers of disabled people continuing to increase</w:t>
      </w:r>
      <w:r>
        <w:rPr>
          <w:sz w:val="18"/>
          <w:szCs w:val="18"/>
          <w:lang w:val="en-US"/>
        </w:rPr>
        <w:t>. I</w:t>
      </w:r>
      <w:r w:rsidR="00826421" w:rsidRPr="00826421">
        <w:rPr>
          <w:sz w:val="18"/>
          <w:szCs w:val="18"/>
          <w:lang w:val="en-US"/>
        </w:rPr>
        <w:t>t is important to plan early to meet their needs throughout their lifetime.</w:t>
      </w:r>
    </w:p>
    <w:p w14:paraId="25CA8495" w14:textId="3C9E420F" w:rsidR="0026561D" w:rsidRPr="00481F72" w:rsidRDefault="00826421" w:rsidP="00826421">
      <w:pPr>
        <w:numPr>
          <w:ilvl w:val="0"/>
          <w:numId w:val="15"/>
        </w:numPr>
        <w:spacing w:after="120"/>
        <w:rPr>
          <w:color w:val="auto"/>
          <w:sz w:val="18"/>
          <w:szCs w:val="18"/>
          <w:lang w:val="en-US"/>
        </w:rPr>
      </w:pPr>
      <w:r w:rsidRPr="00826421">
        <w:rPr>
          <w:rFonts w:eastAsia="SimSun"/>
          <w:sz w:val="18"/>
          <w:szCs w:val="18"/>
          <w:lang w:val="en-US"/>
        </w:rPr>
        <w:t xml:space="preserve">Older people typically occupy a broad </w:t>
      </w:r>
      <w:r w:rsidRPr="00481F72">
        <w:rPr>
          <w:rFonts w:eastAsia="SimSun"/>
          <w:color w:val="auto"/>
          <w:sz w:val="18"/>
          <w:szCs w:val="18"/>
          <w:lang w:val="en-US"/>
        </w:rPr>
        <w:t xml:space="preserve">range of accommodation types and tenures depending on their individual needs, including both market housing and more specialist accommodation. </w:t>
      </w:r>
      <w:r w:rsidR="0026561D" w:rsidRPr="00481F72">
        <w:rPr>
          <w:rFonts w:eastAsia="SimSun"/>
          <w:color w:val="auto"/>
          <w:sz w:val="18"/>
          <w:szCs w:val="18"/>
          <w:lang w:val="en-US"/>
        </w:rPr>
        <w:t>The latest PPG</w:t>
      </w:r>
      <w:r w:rsidR="0026561D" w:rsidRPr="00481F72">
        <w:rPr>
          <w:rStyle w:val="FootnoteReference"/>
          <w:rFonts w:eastAsia="SimSun"/>
          <w:sz w:val="18"/>
          <w:szCs w:val="18"/>
          <w:lang w:val="en-US"/>
        </w:rPr>
        <w:footnoteReference w:id="63"/>
      </w:r>
      <w:r w:rsidR="00F043B3" w:rsidRPr="00481F72">
        <w:rPr>
          <w:rFonts w:eastAsia="SimSun"/>
          <w:color w:val="auto"/>
          <w:sz w:val="18"/>
          <w:szCs w:val="18"/>
          <w:lang w:val="en-US"/>
        </w:rPr>
        <w:t xml:space="preserve"> adopts the following </w:t>
      </w:r>
      <w:r w:rsidR="00621C3C" w:rsidRPr="00481F72">
        <w:rPr>
          <w:rFonts w:eastAsia="SimSun"/>
          <w:color w:val="auto"/>
          <w:sz w:val="18"/>
          <w:szCs w:val="18"/>
          <w:lang w:val="en-US"/>
        </w:rPr>
        <w:t xml:space="preserve">planning </w:t>
      </w:r>
      <w:r w:rsidR="00F043B3" w:rsidRPr="00481F72">
        <w:rPr>
          <w:rFonts w:eastAsia="SimSun"/>
          <w:color w:val="auto"/>
          <w:sz w:val="18"/>
          <w:szCs w:val="18"/>
          <w:lang w:val="en-US"/>
        </w:rPr>
        <w:t>approach:</w:t>
      </w:r>
    </w:p>
    <w:p w14:paraId="784E83C5" w14:textId="4FE8BDC7" w:rsidR="0026561D" w:rsidRPr="008C5248" w:rsidRDefault="0026561D" w:rsidP="00F043B3">
      <w:pPr>
        <w:pStyle w:val="ListNumber2"/>
        <w:rPr>
          <w:color w:val="auto"/>
          <w:sz w:val="18"/>
        </w:rPr>
      </w:pPr>
      <w:r w:rsidRPr="008C5248">
        <w:rPr>
          <w:color w:val="auto"/>
          <w:sz w:val="18"/>
        </w:rPr>
        <w:t xml:space="preserve">Where an identified need exists, plans are expected to make use of the </w:t>
      </w:r>
      <w:hyperlink r:id="rId21" w:history="1">
        <w:r w:rsidRPr="008C5248">
          <w:rPr>
            <w:rStyle w:val="Hyperlink"/>
            <w:rFonts w:eastAsiaTheme="majorEastAsia"/>
            <w:color w:val="auto"/>
            <w:sz w:val="18"/>
          </w:rPr>
          <w:t>optional technical housing standards</w:t>
        </w:r>
      </w:hyperlink>
      <w:r w:rsidRPr="008C5248">
        <w:rPr>
          <w:color w:val="auto"/>
          <w:sz w:val="18"/>
        </w:rPr>
        <w:t xml:space="preserve"> (footnote 46 of the National Planning Policy Framework) to help bring forward an adequate supply of accessible housing. In doing so planning policies for housing can set out the proportion of new housing that will be delivered to the following standards:</w:t>
      </w:r>
    </w:p>
    <w:p w14:paraId="772227D2" w14:textId="77777777" w:rsidR="0026561D" w:rsidRPr="008C5248" w:rsidRDefault="0026561D" w:rsidP="008C5248">
      <w:pPr>
        <w:pStyle w:val="ListNumber3"/>
        <w:rPr>
          <w:sz w:val="18"/>
        </w:rPr>
      </w:pPr>
      <w:r w:rsidRPr="008C5248">
        <w:rPr>
          <w:sz w:val="18"/>
        </w:rPr>
        <w:t>M4(1) Category 1: Visitable dwellings (the minimum standard that applies where no planning condition is given unless a plan sets a higher minimum requirement)</w:t>
      </w:r>
    </w:p>
    <w:p w14:paraId="745E9733" w14:textId="77777777" w:rsidR="0026561D" w:rsidRPr="008C5248" w:rsidRDefault="0026561D" w:rsidP="008C5248">
      <w:pPr>
        <w:pStyle w:val="ListNumber3"/>
        <w:rPr>
          <w:sz w:val="18"/>
        </w:rPr>
      </w:pPr>
      <w:r w:rsidRPr="008C5248">
        <w:rPr>
          <w:sz w:val="18"/>
        </w:rPr>
        <w:t>M4(2) Category 2: Accessible and adaptable dwellings</w:t>
      </w:r>
    </w:p>
    <w:p w14:paraId="6BDB7FBA" w14:textId="77777777" w:rsidR="0026561D" w:rsidRPr="008C5248" w:rsidRDefault="0026561D" w:rsidP="008C5248">
      <w:pPr>
        <w:pStyle w:val="ListNumber3"/>
        <w:rPr>
          <w:sz w:val="18"/>
        </w:rPr>
      </w:pPr>
      <w:r w:rsidRPr="008C5248">
        <w:rPr>
          <w:sz w:val="18"/>
        </w:rPr>
        <w:t>M4(3) Category 3: Wheelchair user dwellings</w:t>
      </w:r>
    </w:p>
    <w:p w14:paraId="5A6AC0C8" w14:textId="2F814C30" w:rsidR="0026561D" w:rsidRPr="008C5248" w:rsidRDefault="0026561D" w:rsidP="00F043B3">
      <w:pPr>
        <w:pStyle w:val="ListNumber2"/>
        <w:rPr>
          <w:color w:val="auto"/>
          <w:sz w:val="18"/>
        </w:rPr>
      </w:pPr>
      <w:r w:rsidRPr="008C5248">
        <w:rPr>
          <w:color w:val="auto"/>
          <w:sz w:val="18"/>
        </w:rPr>
        <w:t>Planning policies for accessible housing need to be based on evidence of need, viability and a consideration of site specific factors.</w:t>
      </w:r>
    </w:p>
    <w:p w14:paraId="7E05F9AC" w14:textId="3D142703" w:rsidR="00826421" w:rsidRPr="00481F72" w:rsidRDefault="00F043B3" w:rsidP="00F043B3">
      <w:pPr>
        <w:numPr>
          <w:ilvl w:val="0"/>
          <w:numId w:val="15"/>
        </w:numPr>
        <w:spacing w:after="120"/>
        <w:rPr>
          <w:rFonts w:eastAsia="SimSun"/>
          <w:color w:val="auto"/>
          <w:sz w:val="18"/>
          <w:szCs w:val="18"/>
          <w:lang w:val="en-US"/>
        </w:rPr>
      </w:pPr>
      <w:r w:rsidRPr="00481F72">
        <w:rPr>
          <w:rFonts w:eastAsia="SimSun"/>
          <w:color w:val="auto"/>
          <w:sz w:val="18"/>
          <w:szCs w:val="18"/>
          <w:lang w:val="en-US"/>
        </w:rPr>
        <w:t xml:space="preserve">In the case of </w:t>
      </w:r>
      <w:r w:rsidR="008B066F">
        <w:rPr>
          <w:sz w:val="18"/>
          <w:szCs w:val="18"/>
          <w:lang w:val="en-US"/>
        </w:rPr>
        <w:t xml:space="preserve">Weymouth, </w:t>
      </w:r>
      <w:r w:rsidRPr="00481F72">
        <w:rPr>
          <w:rFonts w:eastAsia="SimSun"/>
          <w:color w:val="auto"/>
          <w:sz w:val="18"/>
          <w:szCs w:val="18"/>
          <w:lang w:val="en-US"/>
        </w:rPr>
        <w:t xml:space="preserve">this HNA, together with any local housing survey conducted will form the evidence required to justify policies proposing </w:t>
      </w:r>
      <w:r w:rsidR="00621C3C" w:rsidRPr="00481F72">
        <w:rPr>
          <w:rFonts w:eastAsia="SimSun"/>
          <w:color w:val="auto"/>
          <w:sz w:val="18"/>
          <w:szCs w:val="18"/>
          <w:lang w:val="en-US"/>
        </w:rPr>
        <w:t xml:space="preserve">the </w:t>
      </w:r>
      <w:r w:rsidRPr="00481F72">
        <w:rPr>
          <w:rFonts w:eastAsia="SimSun"/>
          <w:color w:val="auto"/>
          <w:sz w:val="18"/>
          <w:szCs w:val="18"/>
          <w:lang w:val="en-US"/>
        </w:rPr>
        <w:t>Category 2 or 3 standards above for both market</w:t>
      </w:r>
      <w:r w:rsidR="003B5127">
        <w:rPr>
          <w:rFonts w:eastAsia="SimSun"/>
          <w:color w:val="auto"/>
          <w:sz w:val="18"/>
          <w:szCs w:val="18"/>
          <w:lang w:val="en-US"/>
        </w:rPr>
        <w:t xml:space="preserve"> and</w:t>
      </w:r>
      <w:r w:rsidRPr="00481F72">
        <w:rPr>
          <w:rFonts w:eastAsia="SimSun"/>
          <w:color w:val="auto"/>
          <w:sz w:val="18"/>
          <w:szCs w:val="18"/>
          <w:lang w:val="en-US"/>
        </w:rPr>
        <w:t xml:space="preserve"> affordable</w:t>
      </w:r>
      <w:r w:rsidR="003B5127">
        <w:rPr>
          <w:rFonts w:eastAsia="SimSun"/>
          <w:color w:val="auto"/>
          <w:sz w:val="18"/>
          <w:szCs w:val="18"/>
          <w:lang w:val="en-US"/>
        </w:rPr>
        <w:t xml:space="preserve"> housing</w:t>
      </w:r>
      <w:r w:rsidRPr="00481F72">
        <w:rPr>
          <w:rFonts w:eastAsia="SimSun"/>
          <w:color w:val="auto"/>
          <w:sz w:val="18"/>
          <w:szCs w:val="18"/>
          <w:lang w:val="en-US"/>
        </w:rPr>
        <w:t xml:space="preserve">  and the t</w:t>
      </w:r>
      <w:r w:rsidR="00826421" w:rsidRPr="00481F72">
        <w:rPr>
          <w:rFonts w:eastAsia="SimSun"/>
          <w:color w:val="auto"/>
          <w:sz w:val="18"/>
          <w:szCs w:val="18"/>
          <w:lang w:val="en-US"/>
        </w:rPr>
        <w:t xml:space="preserve">wo main types of specialist </w:t>
      </w:r>
      <w:r w:rsidR="003B5127">
        <w:rPr>
          <w:rFonts w:eastAsia="SimSun"/>
          <w:color w:val="auto"/>
          <w:sz w:val="18"/>
          <w:szCs w:val="18"/>
          <w:lang w:val="en-US"/>
        </w:rPr>
        <w:t>housing</w:t>
      </w:r>
      <w:r w:rsidR="003B5127" w:rsidRPr="00481F72">
        <w:rPr>
          <w:rFonts w:eastAsia="SimSun"/>
          <w:color w:val="auto"/>
          <w:sz w:val="18"/>
          <w:szCs w:val="18"/>
          <w:lang w:val="en-US"/>
        </w:rPr>
        <w:t xml:space="preserve"> </w:t>
      </w:r>
      <w:r w:rsidR="00826421" w:rsidRPr="00481F72">
        <w:rPr>
          <w:rFonts w:eastAsia="SimSun"/>
          <w:color w:val="auto"/>
          <w:sz w:val="18"/>
          <w:szCs w:val="18"/>
          <w:lang w:val="en-US"/>
        </w:rPr>
        <w:t xml:space="preserve">for older people </w:t>
      </w:r>
      <w:r w:rsidR="003B5127">
        <w:rPr>
          <w:rFonts w:eastAsia="SimSun"/>
          <w:color w:val="auto"/>
          <w:sz w:val="18"/>
          <w:szCs w:val="18"/>
          <w:lang w:val="en-US"/>
        </w:rPr>
        <w:t xml:space="preserve">- </w:t>
      </w:r>
      <w:r w:rsidR="00826421" w:rsidRPr="00481F72">
        <w:rPr>
          <w:rFonts w:eastAsia="SimSun"/>
          <w:color w:val="auto"/>
          <w:sz w:val="18"/>
          <w:szCs w:val="18"/>
          <w:lang w:val="en-US"/>
        </w:rPr>
        <w:t xml:space="preserve">sheltered housing and extra care (see </w:t>
      </w:r>
      <w:r w:rsidR="00826421" w:rsidRPr="00481F72">
        <w:rPr>
          <w:rFonts w:eastAsia="SimSun"/>
          <w:color w:val="auto"/>
          <w:sz w:val="18"/>
          <w:szCs w:val="18"/>
          <w:lang w:val="en-US"/>
        </w:rPr>
        <w:fldChar w:fldCharType="begin"/>
      </w:r>
      <w:r w:rsidR="00826421" w:rsidRPr="00481F72">
        <w:rPr>
          <w:rFonts w:eastAsia="SimSun"/>
          <w:color w:val="auto"/>
          <w:sz w:val="18"/>
          <w:szCs w:val="18"/>
          <w:lang w:val="en-US"/>
        </w:rPr>
        <w:instrText xml:space="preserve"> REF _Ref4056142 \w \h  \* MERGEFORMAT </w:instrText>
      </w:r>
      <w:r w:rsidR="00826421" w:rsidRPr="00481F72">
        <w:rPr>
          <w:rFonts w:eastAsia="SimSun"/>
          <w:color w:val="auto"/>
          <w:sz w:val="18"/>
          <w:szCs w:val="18"/>
          <w:lang w:val="en-US"/>
        </w:rPr>
      </w:r>
      <w:r w:rsidR="00826421" w:rsidRPr="00481F72">
        <w:rPr>
          <w:rFonts w:eastAsia="SimSun"/>
          <w:color w:val="auto"/>
          <w:sz w:val="18"/>
          <w:szCs w:val="18"/>
          <w:lang w:val="en-US"/>
        </w:rPr>
        <w:fldChar w:fldCharType="separate"/>
      </w:r>
      <w:r w:rsidR="00E14AFB">
        <w:rPr>
          <w:rFonts w:eastAsia="SimSun"/>
          <w:color w:val="auto"/>
          <w:sz w:val="18"/>
          <w:szCs w:val="18"/>
          <w:lang w:val="en-US"/>
        </w:rPr>
        <w:t>Appendix D</w:t>
      </w:r>
      <w:r w:rsidR="00826421" w:rsidRPr="00481F72">
        <w:rPr>
          <w:rFonts w:eastAsia="SimSun"/>
          <w:color w:val="auto"/>
          <w:sz w:val="18"/>
          <w:szCs w:val="18"/>
          <w:lang w:val="en-US"/>
        </w:rPr>
        <w:fldChar w:fldCharType="end"/>
      </w:r>
      <w:r w:rsidR="00826421" w:rsidRPr="00481F72">
        <w:rPr>
          <w:rFonts w:eastAsia="SimSun"/>
          <w:color w:val="auto"/>
          <w:sz w:val="18"/>
          <w:szCs w:val="18"/>
          <w:lang w:val="en-US"/>
        </w:rPr>
        <w:t xml:space="preserve"> for definitions).</w:t>
      </w:r>
    </w:p>
    <w:p w14:paraId="3D2FA2A7" w14:textId="412FAA93" w:rsidR="00826421" w:rsidRPr="00826421" w:rsidRDefault="00826421" w:rsidP="00826421">
      <w:pPr>
        <w:numPr>
          <w:ilvl w:val="0"/>
          <w:numId w:val="15"/>
        </w:numPr>
        <w:spacing w:after="120"/>
        <w:rPr>
          <w:rFonts w:eastAsia="SimSun"/>
          <w:sz w:val="18"/>
          <w:szCs w:val="18"/>
          <w:lang w:val="en-US"/>
        </w:rPr>
      </w:pPr>
      <w:r w:rsidRPr="00826421">
        <w:rPr>
          <w:rFonts w:eastAsia="SimSun"/>
          <w:sz w:val="18"/>
          <w:szCs w:val="18"/>
          <w:lang w:val="en-US"/>
        </w:rPr>
        <w:t>In 2014, there were approximately 450,000 units of sheltered social rented and private sector retirement housing in England, with approximately one quarter of these in private sector and the rest provided at social rent levels.</w:t>
      </w:r>
      <w:r w:rsidRPr="00826421">
        <w:rPr>
          <w:rFonts w:eastAsia="SimSun"/>
          <w:sz w:val="18"/>
          <w:szCs w:val="18"/>
          <w:vertAlign w:val="superscript"/>
          <w:lang w:val="en-US"/>
        </w:rPr>
        <w:footnoteReference w:id="64"/>
      </w:r>
      <w:r w:rsidRPr="00826421">
        <w:rPr>
          <w:rFonts w:eastAsia="SimSun"/>
          <w:sz w:val="18"/>
          <w:szCs w:val="18"/>
          <w:lang w:val="en-US"/>
        </w:rPr>
        <w:t xml:space="preserve"> This situation reflects</w:t>
      </w:r>
      <w:r w:rsidR="003B5127">
        <w:rPr>
          <w:rFonts w:eastAsia="SimSun"/>
          <w:sz w:val="18"/>
          <w:szCs w:val="18"/>
          <w:lang w:val="en-US"/>
        </w:rPr>
        <w:t xml:space="preserve"> historic patterns of development,</w:t>
      </w:r>
      <w:r w:rsidRPr="00826421">
        <w:rPr>
          <w:rFonts w:eastAsia="SimSun"/>
          <w:sz w:val="18"/>
          <w:szCs w:val="18"/>
          <w:lang w:val="en-US"/>
        </w:rPr>
        <w:t xml:space="preserve"> significant constraints on the delivery of such housing in the market sector as well as </w:t>
      </w:r>
      <w:r w:rsidR="003B5127">
        <w:rPr>
          <w:rFonts w:eastAsia="SimSun"/>
          <w:sz w:val="18"/>
          <w:szCs w:val="18"/>
          <w:lang w:val="en-US"/>
        </w:rPr>
        <w:t>changing aspirations and expectations amongst</w:t>
      </w:r>
      <w:r w:rsidRPr="00826421">
        <w:rPr>
          <w:rFonts w:eastAsia="SimSun"/>
          <w:sz w:val="18"/>
          <w:szCs w:val="18"/>
          <w:lang w:val="en-US"/>
        </w:rPr>
        <w:t xml:space="preserve"> older people today in comparison with previous generations. </w:t>
      </w:r>
    </w:p>
    <w:p w14:paraId="677FB602" w14:textId="665C2646" w:rsidR="00826421" w:rsidRPr="00826421" w:rsidRDefault="00826421" w:rsidP="00826421">
      <w:pPr>
        <w:numPr>
          <w:ilvl w:val="0"/>
          <w:numId w:val="15"/>
        </w:numPr>
        <w:spacing w:after="120"/>
        <w:rPr>
          <w:rFonts w:eastAsia="SimSun"/>
          <w:sz w:val="18"/>
          <w:szCs w:val="18"/>
          <w:lang w:val="en-US"/>
        </w:rPr>
      </w:pPr>
      <w:r w:rsidRPr="00826421">
        <w:rPr>
          <w:rFonts w:eastAsia="SimSun"/>
          <w:sz w:val="18"/>
          <w:szCs w:val="18"/>
          <w:lang w:val="en-US"/>
        </w:rPr>
        <w:t xml:space="preserve">Local planning authorities can plan for </w:t>
      </w:r>
      <w:r w:rsidR="003B5127">
        <w:rPr>
          <w:rFonts w:eastAsia="SimSun"/>
          <w:sz w:val="18"/>
          <w:szCs w:val="18"/>
          <w:lang w:val="en-US"/>
        </w:rPr>
        <w:t>older</w:t>
      </w:r>
      <w:r w:rsidR="003B5127" w:rsidRPr="00826421">
        <w:rPr>
          <w:rFonts w:eastAsia="SimSun"/>
          <w:sz w:val="18"/>
          <w:szCs w:val="18"/>
          <w:lang w:val="en-US"/>
        </w:rPr>
        <w:t xml:space="preserve"> </w:t>
      </w:r>
      <w:r w:rsidRPr="00826421">
        <w:rPr>
          <w:rFonts w:eastAsia="SimSun"/>
          <w:sz w:val="18"/>
          <w:szCs w:val="18"/>
          <w:lang w:val="en-US"/>
        </w:rPr>
        <w:t>co-housing communities through their implementation of the Self-build and custom-build legislation 2015</w:t>
      </w:r>
      <w:r w:rsidRPr="00826421">
        <w:rPr>
          <w:rFonts w:asciiTheme="majorHAnsi" w:eastAsia="SimSun" w:hAnsiTheme="majorHAnsi"/>
          <w:color w:val="auto"/>
          <w:sz w:val="18"/>
          <w:szCs w:val="18"/>
          <w:vertAlign w:val="superscript"/>
          <w:lang w:val="en-US"/>
        </w:rPr>
        <w:footnoteReference w:id="65"/>
      </w:r>
      <w:r w:rsidRPr="00826421">
        <w:rPr>
          <w:rFonts w:eastAsia="SimSun"/>
          <w:sz w:val="18"/>
          <w:szCs w:val="18"/>
          <w:lang w:val="en-US"/>
        </w:rPr>
        <w:t xml:space="preserve">, as some communities will be looking to build the development themselves. Local authorities can also identify sites suitable for </w:t>
      </w:r>
      <w:r w:rsidR="003B5127">
        <w:rPr>
          <w:rFonts w:eastAsia="SimSun"/>
          <w:sz w:val="18"/>
          <w:szCs w:val="18"/>
          <w:lang w:val="en-US"/>
        </w:rPr>
        <w:t>older</w:t>
      </w:r>
      <w:r w:rsidR="003B5127" w:rsidRPr="00826421">
        <w:rPr>
          <w:rFonts w:eastAsia="SimSun"/>
          <w:sz w:val="18"/>
          <w:szCs w:val="18"/>
          <w:lang w:val="en-US"/>
        </w:rPr>
        <w:t xml:space="preserve"> </w:t>
      </w:r>
      <w:r w:rsidRPr="00826421">
        <w:rPr>
          <w:rFonts w:eastAsia="SimSun"/>
          <w:sz w:val="18"/>
          <w:szCs w:val="18"/>
          <w:lang w:val="en-US"/>
        </w:rPr>
        <w:t xml:space="preserve">co-housing communities </w:t>
      </w:r>
      <w:r w:rsidR="003B5127">
        <w:rPr>
          <w:rFonts w:eastAsia="SimSun"/>
          <w:sz w:val="18"/>
          <w:szCs w:val="18"/>
          <w:lang w:val="en-US"/>
        </w:rPr>
        <w:t>as</w:t>
      </w:r>
      <w:r w:rsidR="003B5127" w:rsidRPr="00826421">
        <w:rPr>
          <w:rFonts w:eastAsia="SimSun"/>
          <w:sz w:val="18"/>
          <w:szCs w:val="18"/>
          <w:lang w:val="en-US"/>
        </w:rPr>
        <w:t xml:space="preserve"> </w:t>
      </w:r>
      <w:r w:rsidRPr="00826421">
        <w:rPr>
          <w:rFonts w:eastAsia="SimSun"/>
          <w:sz w:val="18"/>
          <w:szCs w:val="18"/>
          <w:lang w:val="en-US"/>
        </w:rPr>
        <w:t>part of their overall assessment of land available for housing over the plan period.</w:t>
      </w:r>
      <w:r w:rsidRPr="00826421">
        <w:rPr>
          <w:rFonts w:asciiTheme="majorHAnsi" w:eastAsia="SimSun" w:hAnsiTheme="majorHAnsi"/>
          <w:color w:val="auto"/>
          <w:sz w:val="18"/>
          <w:szCs w:val="18"/>
          <w:vertAlign w:val="superscript"/>
          <w:lang w:val="en-US"/>
        </w:rPr>
        <w:footnoteReference w:id="66"/>
      </w:r>
      <w:r w:rsidRPr="00826421">
        <w:rPr>
          <w:rFonts w:eastAsia="SimSun"/>
          <w:sz w:val="18"/>
          <w:szCs w:val="18"/>
          <w:lang w:val="en-US"/>
        </w:rPr>
        <w:t xml:space="preserve"> </w:t>
      </w:r>
    </w:p>
    <w:p w14:paraId="297666A9" w14:textId="77777777" w:rsidR="00826421" w:rsidRPr="00826421" w:rsidRDefault="00826421" w:rsidP="00826421">
      <w:pPr>
        <w:numPr>
          <w:ilvl w:val="0"/>
          <w:numId w:val="15"/>
        </w:numPr>
        <w:spacing w:after="120"/>
        <w:rPr>
          <w:rFonts w:eastAsia="SimSun"/>
          <w:sz w:val="18"/>
          <w:szCs w:val="18"/>
          <w:lang w:val="en-US"/>
        </w:rPr>
      </w:pPr>
      <w:r w:rsidRPr="00826421">
        <w:rPr>
          <w:rFonts w:eastAsia="SimSun"/>
          <w:sz w:val="18"/>
          <w:szCs w:val="18"/>
          <w:lang w:val="en-US"/>
        </w:rPr>
        <w:t>Given that the vast majority of people over 75 live in their own homes, but that the current stock is primarily for social rent, AECOM has developed a ‘tenure-led’ approach to calculating the need for specialist housing, which also takes into account the health and mobility of population of the Neighbourhood Plan area so as to develop projections for future need for specialist housing provided with some level of care or other services.</w:t>
      </w:r>
    </w:p>
    <w:p w14:paraId="3E4D2581" w14:textId="77777777" w:rsidR="00826421" w:rsidRPr="00826421" w:rsidRDefault="00826421" w:rsidP="008C5248">
      <w:pPr>
        <w:pStyle w:val="Heading2"/>
      </w:pPr>
      <w:bookmarkStart w:id="188" w:name="_Toc13235057"/>
      <w:bookmarkStart w:id="189" w:name="_Toc64026821"/>
      <w:bookmarkEnd w:id="187"/>
      <w:r w:rsidRPr="00826421">
        <w:t>Approach</w:t>
      </w:r>
      <w:bookmarkEnd w:id="188"/>
      <w:bookmarkEnd w:id="189"/>
    </w:p>
    <w:p w14:paraId="30A4A3F9" w14:textId="7617EBDE" w:rsidR="00826421" w:rsidRPr="00616B01" w:rsidRDefault="00826421" w:rsidP="00A82210">
      <w:pPr>
        <w:pStyle w:val="ListNumber"/>
        <w:rPr>
          <w:rFonts w:eastAsia="SimSun"/>
        </w:rPr>
      </w:pPr>
      <w:bookmarkStart w:id="190" w:name="_Toc5696317"/>
      <w:r w:rsidRPr="00616B01">
        <w:rPr>
          <w:rFonts w:eastAsia="SimSun"/>
        </w:rPr>
        <w:t>In accordance with NPPF guidance, this chapter applies a three stage process to determine the potential incidence of need for specialist housing for the elderly, based on tenures, projections of the future population of elderly people in the Neighbourhood Plan area, and Census data relating to mobility limitations and overall health.</w:t>
      </w:r>
      <w:r w:rsidRPr="00616B01">
        <w:rPr>
          <w:rFonts w:asciiTheme="majorHAnsi" w:eastAsia="SimSun" w:hAnsiTheme="majorHAnsi"/>
          <w:color w:val="auto"/>
          <w:vertAlign w:val="superscript"/>
        </w:rPr>
        <w:footnoteReference w:id="67"/>
      </w:r>
      <w:r w:rsidRPr="00616B01">
        <w:rPr>
          <w:rFonts w:eastAsia="SimSun"/>
        </w:rPr>
        <w:t xml:space="preserve"> These are then compared with rates of provision that have been recommended by the Housing Learning and Improvement Network (HLIN), as well as with existing rates of provision across </w:t>
      </w:r>
      <w:r w:rsidR="008B066F">
        <w:rPr>
          <w:rFonts w:eastAsia="SimSun"/>
        </w:rPr>
        <w:t>Dorset.</w:t>
      </w:r>
    </w:p>
    <w:p w14:paraId="373366B1" w14:textId="1FF0C14B" w:rsidR="00826421" w:rsidRPr="00616B01" w:rsidRDefault="00826421" w:rsidP="00A82210">
      <w:pPr>
        <w:pStyle w:val="ListNumber"/>
        <w:rPr>
          <w:rFonts w:eastAsia="SimSun"/>
        </w:rPr>
      </w:pPr>
      <w:r w:rsidRPr="00616B01">
        <w:rPr>
          <w:rFonts w:eastAsia="SimSun"/>
        </w:rPr>
        <w:t xml:space="preserve">Clearly, this calculation represents an assumption, with the actual decision for an </w:t>
      </w:r>
      <w:r w:rsidR="003B5127" w:rsidRPr="00616B01">
        <w:rPr>
          <w:rFonts w:eastAsia="SimSun"/>
        </w:rPr>
        <w:t xml:space="preserve">older </w:t>
      </w:r>
      <w:r w:rsidRPr="00616B01">
        <w:rPr>
          <w:rFonts w:eastAsia="SimSun"/>
        </w:rPr>
        <w:t xml:space="preserve">or disabled person to enter specialist housing highly dependent on individual circumstances. As already noted, the actual proportion of </w:t>
      </w:r>
      <w:r w:rsidR="003B5127" w:rsidRPr="00616B01">
        <w:rPr>
          <w:rFonts w:eastAsia="SimSun"/>
        </w:rPr>
        <w:t xml:space="preserve">older </w:t>
      </w:r>
      <w:r w:rsidRPr="00616B01">
        <w:rPr>
          <w:rFonts w:eastAsia="SimSun"/>
        </w:rPr>
        <w:t xml:space="preserve">people that can be considered in need of specialist housing is affected both by overall levels of health as well as by individual lifestyle choices, given that the vast majority of </w:t>
      </w:r>
      <w:r w:rsidR="003B5127" w:rsidRPr="00616B01">
        <w:rPr>
          <w:rFonts w:eastAsia="SimSun"/>
        </w:rPr>
        <w:t xml:space="preserve">older </w:t>
      </w:r>
      <w:r w:rsidRPr="00616B01">
        <w:rPr>
          <w:rFonts w:eastAsia="SimSun"/>
        </w:rPr>
        <w:t xml:space="preserve">people currently choose to continue to live in their homes </w:t>
      </w:r>
      <w:r w:rsidR="003B5127" w:rsidRPr="00616B01">
        <w:rPr>
          <w:rFonts w:eastAsia="SimSun"/>
        </w:rPr>
        <w:t>for their entire lives</w:t>
      </w:r>
      <w:r w:rsidRPr="00616B01">
        <w:rPr>
          <w:rFonts w:eastAsia="SimSun"/>
        </w:rPr>
        <w:t xml:space="preserve">. </w:t>
      </w:r>
    </w:p>
    <w:p w14:paraId="49F768F8" w14:textId="10947609" w:rsidR="00826421" w:rsidRPr="00616B01" w:rsidRDefault="00826421" w:rsidP="00A82210">
      <w:pPr>
        <w:pStyle w:val="ListNumber"/>
        <w:rPr>
          <w:rFonts w:eastAsia="SimSun"/>
        </w:rPr>
      </w:pPr>
      <w:r w:rsidRPr="00616B01">
        <w:rPr>
          <w:rFonts w:eastAsia="SimSun"/>
        </w:rPr>
        <w:t>The charity Age UK suggests that “inaccessible housing should not force anyone out of their home or local community against their wishes. It’s much better to have ‘pull factors’ that attract older people towards housing alternatives.”</w:t>
      </w:r>
      <w:r w:rsidRPr="00616B01">
        <w:rPr>
          <w:rFonts w:eastAsia="SimSun"/>
          <w:vertAlign w:val="superscript"/>
        </w:rPr>
        <w:footnoteReference w:id="68"/>
      </w:r>
      <w:r w:rsidRPr="00616B01">
        <w:rPr>
          <w:rFonts w:eastAsia="SimSun"/>
        </w:rPr>
        <w:t xml:space="preserve"> By understanding the tenure breakdown of specialist housing need, </w:t>
      </w:r>
      <w:r w:rsidR="003B5127" w:rsidRPr="00616B01">
        <w:rPr>
          <w:rFonts w:eastAsia="SimSun"/>
        </w:rPr>
        <w:t>it is possible to</w:t>
      </w:r>
      <w:r w:rsidRPr="00616B01">
        <w:rPr>
          <w:rFonts w:eastAsia="SimSun"/>
        </w:rPr>
        <w:t xml:space="preserve"> better understand the extent to which demand will be a factor in this market segment.</w:t>
      </w:r>
    </w:p>
    <w:p w14:paraId="3382D5AD" w14:textId="77777777" w:rsidR="00826421" w:rsidRPr="00826421" w:rsidRDefault="00826421" w:rsidP="008C5248">
      <w:pPr>
        <w:pStyle w:val="Heading3"/>
      </w:pPr>
      <w:bookmarkStart w:id="191" w:name="_Toc13235058"/>
      <w:bookmarkStart w:id="192" w:name="_Toc64026822"/>
      <w:r w:rsidRPr="00826421">
        <w:t>Current supply of specialist housing for older people</w:t>
      </w:r>
      <w:bookmarkEnd w:id="190"/>
      <w:bookmarkEnd w:id="191"/>
      <w:bookmarkEnd w:id="192"/>
    </w:p>
    <w:p w14:paraId="3D4C10AF" w14:textId="03E38E7A" w:rsidR="00826421" w:rsidRPr="00826421" w:rsidRDefault="00826421" w:rsidP="00826421">
      <w:pPr>
        <w:widowControl w:val="0"/>
        <w:numPr>
          <w:ilvl w:val="0"/>
          <w:numId w:val="15"/>
        </w:numPr>
        <w:tabs>
          <w:tab w:val="left" w:pos="284"/>
        </w:tabs>
        <w:spacing w:before="0" w:after="120" w:line="240" w:lineRule="atLeast"/>
        <w:jc w:val="both"/>
        <w:rPr>
          <w:rFonts w:asciiTheme="minorHAnsi" w:eastAsiaTheme="minorHAnsi" w:hAnsiTheme="minorHAnsi" w:cstheme="minorBidi"/>
          <w:color w:val="auto"/>
          <w:kern w:val="18"/>
          <w:sz w:val="18"/>
          <w:szCs w:val="18"/>
          <w:lang w:val="en-US" w:eastAsia="en-US"/>
        </w:rPr>
      </w:pPr>
      <w:r w:rsidRPr="00826421">
        <w:rPr>
          <w:rFonts w:asciiTheme="minorHAnsi" w:eastAsiaTheme="minorHAnsi" w:hAnsiTheme="minorHAnsi" w:cstheme="minorBidi"/>
          <w:color w:val="auto"/>
          <w:kern w:val="18"/>
          <w:sz w:val="18"/>
          <w:szCs w:val="18"/>
          <w:lang w:val="en-US" w:eastAsia="en-US"/>
        </w:rPr>
        <w:t>When determining a final target for the need for specialist dwellings, it is necessary first to take account of current supply. There are a number of ways to do this. Data may be available within</w:t>
      </w:r>
      <w:r w:rsidR="008B066F">
        <w:rPr>
          <w:rFonts w:asciiTheme="minorHAnsi" w:eastAsiaTheme="minorHAnsi" w:hAnsiTheme="minorHAnsi" w:cstheme="minorBidi"/>
          <w:color w:val="auto"/>
          <w:kern w:val="18"/>
          <w:sz w:val="18"/>
          <w:szCs w:val="18"/>
          <w:lang w:val="en-US" w:eastAsia="en-US"/>
        </w:rPr>
        <w:t xml:space="preserve"> Dorset</w:t>
      </w:r>
      <w:r w:rsidRPr="00826421">
        <w:rPr>
          <w:rFonts w:asciiTheme="minorHAnsi" w:eastAsiaTheme="minorHAnsi" w:hAnsiTheme="minorHAnsi" w:cstheme="minorBidi"/>
          <w:color w:val="auto"/>
          <w:kern w:val="18"/>
          <w:sz w:val="18"/>
          <w:szCs w:val="18"/>
          <w:lang w:val="en-US" w:eastAsia="en-US"/>
        </w:rPr>
        <w:t xml:space="preserve">’s housing evidence base. Alternatively, data may be collated manually on the amount of specialist housing within a given area using the search function on the Elderly Accommodation </w:t>
      </w:r>
      <w:r w:rsidR="007B48C0">
        <w:rPr>
          <w:rFonts w:asciiTheme="minorHAnsi" w:eastAsiaTheme="minorHAnsi" w:hAnsiTheme="minorHAnsi" w:cstheme="minorBidi"/>
          <w:color w:val="auto"/>
          <w:kern w:val="18"/>
          <w:sz w:val="18"/>
          <w:szCs w:val="18"/>
          <w:lang w:val="en-US" w:eastAsia="en-US"/>
        </w:rPr>
        <w:t>Counsel’s</w:t>
      </w:r>
      <w:r w:rsidR="007B48C0" w:rsidRPr="00826421">
        <w:rPr>
          <w:rFonts w:asciiTheme="minorHAnsi" w:eastAsiaTheme="minorHAnsi" w:hAnsiTheme="minorHAnsi" w:cstheme="minorBidi"/>
          <w:color w:val="auto"/>
          <w:kern w:val="18"/>
          <w:sz w:val="18"/>
          <w:szCs w:val="18"/>
          <w:lang w:val="en-US" w:eastAsia="en-US"/>
        </w:rPr>
        <w:t xml:space="preserve"> </w:t>
      </w:r>
      <w:r w:rsidRPr="00826421">
        <w:rPr>
          <w:rFonts w:asciiTheme="minorHAnsi" w:eastAsiaTheme="minorHAnsi" w:hAnsiTheme="minorHAnsi" w:cstheme="minorBidi"/>
          <w:color w:val="auto"/>
          <w:kern w:val="18"/>
          <w:sz w:val="18"/>
          <w:szCs w:val="18"/>
          <w:lang w:val="en-US" w:eastAsia="en-US"/>
        </w:rPr>
        <w:t xml:space="preserve">Website: </w:t>
      </w:r>
      <w:hyperlink r:id="rId22" w:history="1">
        <w:r w:rsidRPr="00826421">
          <w:rPr>
            <w:rFonts w:asciiTheme="minorHAnsi" w:eastAsiaTheme="minorHAnsi" w:hAnsiTheme="minorHAnsi" w:cstheme="minorBidi"/>
            <w:color w:val="00B5E2" w:themeColor="accent1"/>
            <w:kern w:val="18"/>
            <w:sz w:val="18"/>
            <w:szCs w:val="18"/>
            <w:u w:val="single"/>
            <w:lang w:val="en-US" w:eastAsia="en-US"/>
          </w:rPr>
          <w:t>http://www.housingcare.org</w:t>
        </w:r>
      </w:hyperlink>
      <w:r w:rsidRPr="00826421">
        <w:rPr>
          <w:rFonts w:asciiTheme="minorHAnsi" w:eastAsiaTheme="minorHAnsi" w:hAnsiTheme="minorHAnsi" w:cstheme="minorBidi"/>
          <w:color w:val="auto"/>
          <w:kern w:val="18"/>
          <w:sz w:val="18"/>
          <w:szCs w:val="18"/>
          <w:lang w:val="en-US" w:eastAsia="en-US"/>
        </w:rPr>
        <w:t xml:space="preserve">. </w:t>
      </w:r>
    </w:p>
    <w:p w14:paraId="2A28E450" w14:textId="72803D8E" w:rsidR="00826421" w:rsidRPr="00826421" w:rsidRDefault="00826421" w:rsidP="00826421">
      <w:pPr>
        <w:numPr>
          <w:ilvl w:val="0"/>
          <w:numId w:val="15"/>
        </w:numPr>
        <w:spacing w:before="0" w:after="120"/>
        <w:jc w:val="both"/>
        <w:rPr>
          <w:rFonts w:eastAsia="SimSun" w:cs="Times New Roman"/>
          <w:b/>
          <w:sz w:val="18"/>
          <w:szCs w:val="18"/>
          <w:lang w:val="en-US"/>
        </w:rPr>
      </w:pPr>
      <w:r w:rsidRPr="00826421">
        <w:rPr>
          <w:sz w:val="18"/>
          <w:szCs w:val="18"/>
          <w:lang w:val="en-US"/>
        </w:rPr>
        <w:t>It is important to note that bed spaces in communal establishments such as live-in care homes are not included in the calculation below.</w:t>
      </w:r>
      <w:r w:rsidRPr="00826421">
        <w:rPr>
          <w:rFonts w:asciiTheme="majorHAnsi" w:hAnsiTheme="majorHAnsi"/>
          <w:color w:val="auto"/>
          <w:sz w:val="18"/>
          <w:szCs w:val="18"/>
          <w:vertAlign w:val="superscript"/>
          <w:lang w:val="en-US"/>
        </w:rPr>
        <w:footnoteReference w:id="69"/>
      </w:r>
      <w:r w:rsidRPr="00826421">
        <w:rPr>
          <w:sz w:val="18"/>
          <w:szCs w:val="18"/>
          <w:lang w:val="en-US"/>
        </w:rPr>
        <w:t xml:space="preserve"> This is because for the purposes of the UK planning system, such institutions occupy a different land-use class from other housing (use class C2, which comprises residential institutions, versus C3, which comprises private dwellings)</w:t>
      </w:r>
      <w:r w:rsidRPr="00826421">
        <w:rPr>
          <w:rFonts w:asciiTheme="majorHAnsi" w:hAnsiTheme="majorHAnsi"/>
          <w:color w:val="auto"/>
          <w:sz w:val="18"/>
          <w:szCs w:val="18"/>
          <w:vertAlign w:val="superscript"/>
          <w:lang w:val="en-US"/>
        </w:rPr>
        <w:footnoteReference w:id="70"/>
      </w:r>
      <w:r w:rsidRPr="00826421">
        <w:rPr>
          <w:sz w:val="18"/>
          <w:szCs w:val="18"/>
          <w:lang w:val="en-US"/>
        </w:rPr>
        <w:t xml:space="preserve">. However, all other types of specialist housing for older people fall within use class C3 and, as such, are within the scope of this Housing Needs Assessment. Having said this, we will note the existing provision of such institutional accommodation where it exists in </w:t>
      </w:r>
      <w:r w:rsidR="0015105E">
        <w:rPr>
          <w:sz w:val="18"/>
          <w:szCs w:val="18"/>
          <w:lang w:val="en-US"/>
        </w:rPr>
        <w:t>Weymouth</w:t>
      </w:r>
      <w:r w:rsidRPr="00826421">
        <w:rPr>
          <w:sz w:val="18"/>
          <w:szCs w:val="18"/>
          <w:lang w:val="en-US"/>
        </w:rPr>
        <w:t>.</w:t>
      </w:r>
      <w:bookmarkStart w:id="193" w:name="_Toc533017444"/>
    </w:p>
    <w:bookmarkEnd w:id="193"/>
    <w:p w14:paraId="7DCBA9A0" w14:textId="4B6B7CBD" w:rsidR="00826421" w:rsidRPr="00826421" w:rsidRDefault="00826421" w:rsidP="00826421">
      <w:pPr>
        <w:numPr>
          <w:ilvl w:val="0"/>
          <w:numId w:val="15"/>
        </w:numPr>
        <w:tabs>
          <w:tab w:val="left" w:pos="284"/>
        </w:tabs>
        <w:spacing w:before="0" w:after="120" w:line="240" w:lineRule="atLeast"/>
        <w:jc w:val="both"/>
        <w:rPr>
          <w:rFonts w:asciiTheme="minorHAnsi" w:eastAsiaTheme="minorHAnsi" w:hAnsiTheme="minorHAnsi" w:cstheme="minorBidi"/>
          <w:color w:val="auto"/>
          <w:kern w:val="18"/>
          <w:sz w:val="18"/>
          <w:szCs w:val="18"/>
          <w:lang w:val="en-US" w:eastAsia="en-US"/>
        </w:rPr>
      </w:pPr>
      <w:r w:rsidRPr="00826421">
        <w:rPr>
          <w:rFonts w:asciiTheme="minorHAnsi" w:eastAsiaTheme="minorHAnsi" w:hAnsiTheme="minorHAnsi" w:cstheme="minorBidi"/>
          <w:color w:val="auto"/>
          <w:kern w:val="18"/>
          <w:sz w:val="18"/>
          <w:szCs w:val="18"/>
          <w:lang w:val="en-US" w:eastAsia="en-US"/>
        </w:rPr>
        <w:t xml:space="preserve">The 2011 Census highlights the number of residents living in different types of communal establishments. Within </w:t>
      </w:r>
      <w:r w:rsidR="0015105E">
        <w:rPr>
          <w:rFonts w:asciiTheme="minorHAnsi" w:eastAsiaTheme="minorHAnsi" w:hAnsiTheme="minorHAnsi" w:cstheme="minorBidi"/>
          <w:color w:val="auto"/>
          <w:kern w:val="18"/>
          <w:sz w:val="18"/>
          <w:szCs w:val="18"/>
          <w:lang w:val="en-US" w:eastAsia="en-US"/>
        </w:rPr>
        <w:t>Weymouth</w:t>
      </w:r>
      <w:r w:rsidRPr="00826421">
        <w:rPr>
          <w:rFonts w:asciiTheme="minorHAnsi" w:eastAsiaTheme="minorHAnsi" w:hAnsiTheme="minorHAnsi" w:cstheme="minorBidi"/>
          <w:color w:val="auto"/>
          <w:kern w:val="18"/>
          <w:sz w:val="18"/>
          <w:szCs w:val="18"/>
          <w:lang w:val="en-US" w:eastAsia="en-US"/>
        </w:rPr>
        <w:t xml:space="preserve">, </w:t>
      </w:r>
      <w:r w:rsidRPr="00832DE0">
        <w:rPr>
          <w:rFonts w:asciiTheme="minorHAnsi" w:eastAsiaTheme="minorHAnsi" w:hAnsiTheme="minorHAnsi" w:cstheme="minorBidi"/>
          <w:color w:val="auto"/>
          <w:kern w:val="18"/>
          <w:sz w:val="18"/>
          <w:szCs w:val="18"/>
          <w:lang w:val="en-US" w:eastAsia="en-US"/>
        </w:rPr>
        <w:t xml:space="preserve">it identified </w:t>
      </w:r>
      <w:r w:rsidR="00EC3C9F" w:rsidRPr="00832DE0">
        <w:rPr>
          <w:rFonts w:asciiTheme="minorHAnsi" w:eastAsiaTheme="minorHAnsi" w:hAnsiTheme="minorHAnsi" w:cstheme="minorBidi"/>
          <w:color w:val="auto"/>
          <w:kern w:val="18"/>
          <w:sz w:val="18"/>
          <w:szCs w:val="18"/>
          <w:lang w:val="en-US" w:eastAsia="en-US"/>
        </w:rPr>
        <w:t>66</w:t>
      </w:r>
      <w:r w:rsidRPr="00832DE0">
        <w:rPr>
          <w:rFonts w:asciiTheme="minorHAnsi" w:eastAsiaTheme="minorHAnsi" w:hAnsiTheme="minorHAnsi" w:cstheme="minorBidi"/>
          <w:color w:val="auto"/>
          <w:kern w:val="18"/>
          <w:sz w:val="18"/>
          <w:szCs w:val="18"/>
          <w:lang w:val="en-US" w:eastAsia="en-US"/>
        </w:rPr>
        <w:t xml:space="preserve"> </w:t>
      </w:r>
      <w:r w:rsidR="00CC1F17" w:rsidRPr="00832DE0">
        <w:rPr>
          <w:rFonts w:asciiTheme="minorHAnsi" w:eastAsiaTheme="minorHAnsi" w:hAnsiTheme="minorHAnsi" w:cstheme="minorBidi"/>
          <w:color w:val="auto"/>
          <w:kern w:val="18"/>
          <w:sz w:val="18"/>
          <w:szCs w:val="18"/>
          <w:lang w:val="en-US" w:eastAsia="en-US"/>
        </w:rPr>
        <w:t xml:space="preserve">residents living </w:t>
      </w:r>
      <w:r w:rsidRPr="00832DE0">
        <w:rPr>
          <w:rFonts w:asciiTheme="minorHAnsi" w:eastAsiaTheme="minorHAnsi" w:hAnsiTheme="minorHAnsi" w:cstheme="minorBidi"/>
          <w:color w:val="auto"/>
          <w:kern w:val="18"/>
          <w:sz w:val="18"/>
          <w:szCs w:val="18"/>
          <w:lang w:val="en-US" w:eastAsia="en-US"/>
        </w:rPr>
        <w:t xml:space="preserve">in care homes with nursing and </w:t>
      </w:r>
      <w:r w:rsidR="00EC3C9F" w:rsidRPr="00832DE0">
        <w:rPr>
          <w:rFonts w:asciiTheme="minorHAnsi" w:eastAsiaTheme="minorHAnsi" w:hAnsiTheme="minorHAnsi" w:cstheme="minorBidi"/>
          <w:color w:val="auto"/>
          <w:kern w:val="18"/>
          <w:sz w:val="18"/>
          <w:szCs w:val="18"/>
          <w:lang w:val="en-US" w:eastAsia="en-US"/>
        </w:rPr>
        <w:t>380</w:t>
      </w:r>
      <w:r w:rsidRPr="00832DE0">
        <w:rPr>
          <w:rFonts w:asciiTheme="minorHAnsi" w:eastAsiaTheme="minorHAnsi" w:hAnsiTheme="minorHAnsi" w:cstheme="minorBidi"/>
          <w:color w:val="auto"/>
          <w:kern w:val="18"/>
          <w:sz w:val="18"/>
          <w:szCs w:val="18"/>
          <w:lang w:val="en-US" w:eastAsia="en-US"/>
        </w:rPr>
        <w:t xml:space="preserve"> in care homes without nursing.</w:t>
      </w:r>
      <w:r w:rsidRPr="00832DE0">
        <w:rPr>
          <w:rFonts w:asciiTheme="majorHAnsi" w:eastAsiaTheme="minorHAnsi" w:hAnsiTheme="majorHAnsi" w:cstheme="minorBidi"/>
          <w:color w:val="auto"/>
          <w:kern w:val="18"/>
          <w:sz w:val="18"/>
          <w:szCs w:val="18"/>
          <w:vertAlign w:val="superscript"/>
          <w:lang w:val="en-US" w:eastAsia="en-US"/>
        </w:rPr>
        <w:footnoteReference w:id="71"/>
      </w:r>
    </w:p>
    <w:p w14:paraId="2A963F2E" w14:textId="525CE4B4" w:rsidR="00826421" w:rsidRPr="00826421" w:rsidRDefault="00826421" w:rsidP="00826421">
      <w:pPr>
        <w:numPr>
          <w:ilvl w:val="0"/>
          <w:numId w:val="15"/>
        </w:numPr>
        <w:tabs>
          <w:tab w:val="left" w:pos="284"/>
        </w:tabs>
        <w:spacing w:before="0" w:after="120" w:line="240" w:lineRule="atLeast"/>
        <w:jc w:val="both"/>
        <w:rPr>
          <w:rFonts w:asciiTheme="minorHAnsi" w:eastAsiaTheme="minorHAnsi" w:hAnsiTheme="minorHAnsi" w:cstheme="minorBidi"/>
          <w:color w:val="auto"/>
          <w:kern w:val="18"/>
          <w:sz w:val="18"/>
          <w:szCs w:val="18"/>
          <w:lang w:val="en-US" w:eastAsia="en-US"/>
        </w:rPr>
      </w:pPr>
      <w:r w:rsidRPr="00826421">
        <w:rPr>
          <w:rFonts w:asciiTheme="minorHAnsi" w:eastAsiaTheme="minorHAnsi" w:hAnsiTheme="minorHAnsi" w:cstheme="minorBidi"/>
          <w:color w:val="auto"/>
          <w:kern w:val="18"/>
          <w:sz w:val="18"/>
          <w:szCs w:val="18"/>
          <w:lang w:eastAsia="en-US"/>
        </w:rPr>
        <w:t xml:space="preserve">Given that communal establishments </w:t>
      </w:r>
      <w:r w:rsidR="007B48C0">
        <w:rPr>
          <w:rFonts w:asciiTheme="minorHAnsi" w:eastAsiaTheme="minorHAnsi" w:hAnsiTheme="minorHAnsi" w:cstheme="minorBidi"/>
          <w:color w:val="auto"/>
          <w:kern w:val="18"/>
          <w:sz w:val="18"/>
          <w:szCs w:val="18"/>
          <w:lang w:eastAsia="en-US"/>
        </w:rPr>
        <w:t xml:space="preserve">(care homes) </w:t>
      </w:r>
      <w:r w:rsidRPr="00826421">
        <w:rPr>
          <w:rFonts w:asciiTheme="minorHAnsi" w:eastAsiaTheme="minorHAnsi" w:hAnsiTheme="minorHAnsi" w:cstheme="minorBidi"/>
          <w:color w:val="auto"/>
          <w:kern w:val="18"/>
          <w:sz w:val="18"/>
          <w:szCs w:val="18"/>
          <w:lang w:eastAsia="en-US"/>
        </w:rPr>
        <w:t xml:space="preserve">are generally outside the scope of housing needs assessments for the reasons described above, </w:t>
      </w:r>
      <w:r w:rsidR="007B48C0">
        <w:rPr>
          <w:rFonts w:asciiTheme="minorHAnsi" w:eastAsiaTheme="minorHAnsi" w:hAnsiTheme="minorHAnsi" w:cstheme="minorBidi"/>
          <w:color w:val="auto"/>
          <w:kern w:val="18"/>
          <w:sz w:val="18"/>
          <w:szCs w:val="18"/>
          <w:lang w:eastAsia="en-US"/>
        </w:rPr>
        <w:t>these are</w:t>
      </w:r>
      <w:r w:rsidRPr="00826421">
        <w:rPr>
          <w:rFonts w:asciiTheme="minorHAnsi" w:eastAsiaTheme="minorHAnsi" w:hAnsiTheme="minorHAnsi" w:cstheme="minorBidi"/>
          <w:color w:val="auto"/>
          <w:kern w:val="18"/>
          <w:sz w:val="18"/>
          <w:szCs w:val="18"/>
          <w:lang w:eastAsia="en-US"/>
        </w:rPr>
        <w:t xml:space="preserve"> discount</w:t>
      </w:r>
      <w:r w:rsidR="007B48C0">
        <w:rPr>
          <w:rFonts w:asciiTheme="minorHAnsi" w:eastAsiaTheme="minorHAnsi" w:hAnsiTheme="minorHAnsi" w:cstheme="minorBidi"/>
          <w:color w:val="auto"/>
          <w:kern w:val="18"/>
          <w:sz w:val="18"/>
          <w:szCs w:val="18"/>
          <w:lang w:eastAsia="en-US"/>
        </w:rPr>
        <w:t>ed</w:t>
      </w:r>
      <w:r w:rsidRPr="00826421">
        <w:rPr>
          <w:rFonts w:asciiTheme="minorHAnsi" w:eastAsiaTheme="minorHAnsi" w:hAnsiTheme="minorHAnsi" w:cstheme="minorBidi"/>
          <w:color w:val="auto"/>
          <w:kern w:val="18"/>
          <w:sz w:val="18"/>
          <w:szCs w:val="18"/>
          <w:lang w:eastAsia="en-US"/>
        </w:rPr>
        <w:t xml:space="preserve"> from </w:t>
      </w:r>
      <w:r w:rsidR="007B48C0">
        <w:rPr>
          <w:rFonts w:asciiTheme="minorHAnsi" w:eastAsiaTheme="minorHAnsi" w:hAnsiTheme="minorHAnsi" w:cstheme="minorBidi"/>
          <w:color w:val="auto"/>
          <w:kern w:val="18"/>
          <w:sz w:val="18"/>
          <w:szCs w:val="18"/>
          <w:lang w:eastAsia="en-US"/>
        </w:rPr>
        <w:t>this</w:t>
      </w:r>
      <w:r w:rsidRPr="00826421">
        <w:rPr>
          <w:rFonts w:asciiTheme="minorHAnsi" w:eastAsiaTheme="minorHAnsi" w:hAnsiTheme="minorHAnsi" w:cstheme="minorBidi"/>
          <w:color w:val="auto"/>
          <w:kern w:val="18"/>
          <w:sz w:val="18"/>
          <w:szCs w:val="18"/>
          <w:lang w:eastAsia="en-US"/>
        </w:rPr>
        <w:t xml:space="preserve"> analysis, and the remaining specialist housing for  </w:t>
      </w:r>
      <w:r w:rsidR="00DE6D21">
        <w:rPr>
          <w:rFonts w:asciiTheme="minorHAnsi" w:eastAsiaTheme="minorHAnsi" w:hAnsiTheme="minorHAnsi" w:cstheme="minorBidi"/>
          <w:color w:val="auto"/>
          <w:kern w:val="18"/>
          <w:sz w:val="18"/>
          <w:szCs w:val="18"/>
          <w:lang w:eastAsia="en-US"/>
        </w:rPr>
        <w:t>older</w:t>
      </w:r>
      <w:r w:rsidR="00857FA6">
        <w:rPr>
          <w:rFonts w:asciiTheme="minorHAnsi" w:eastAsiaTheme="minorHAnsi" w:hAnsiTheme="minorHAnsi" w:cstheme="minorBidi"/>
          <w:color w:val="auto"/>
          <w:kern w:val="18"/>
          <w:sz w:val="18"/>
          <w:szCs w:val="18"/>
          <w:lang w:eastAsia="en-US"/>
        </w:rPr>
        <w:t xml:space="preserve"> people</w:t>
      </w:r>
      <w:r w:rsidRPr="00826421">
        <w:rPr>
          <w:rFonts w:asciiTheme="minorHAnsi" w:eastAsiaTheme="minorHAnsi" w:hAnsiTheme="minorHAnsi" w:cstheme="minorBidi"/>
          <w:color w:val="auto"/>
          <w:kern w:val="18"/>
          <w:sz w:val="18"/>
          <w:szCs w:val="18"/>
          <w:lang w:eastAsia="en-US"/>
        </w:rPr>
        <w:t xml:space="preserve">, which should be within use class C3 and thus within the scope of this assessment, is presented in </w:t>
      </w:r>
      <w:r w:rsidRPr="00826421">
        <w:rPr>
          <w:rFonts w:asciiTheme="minorHAnsi" w:eastAsiaTheme="minorHAnsi" w:hAnsiTheme="minorHAnsi" w:cstheme="minorBidi"/>
          <w:color w:val="auto"/>
          <w:kern w:val="18"/>
          <w:sz w:val="18"/>
          <w:szCs w:val="18"/>
          <w:lang w:eastAsia="en-US"/>
        </w:rPr>
        <w:fldChar w:fldCharType="begin"/>
      </w:r>
      <w:r w:rsidRPr="00826421">
        <w:rPr>
          <w:rFonts w:asciiTheme="minorHAnsi" w:eastAsiaTheme="minorHAnsi" w:hAnsiTheme="minorHAnsi" w:cstheme="minorBidi"/>
          <w:color w:val="auto"/>
          <w:kern w:val="18"/>
          <w:sz w:val="18"/>
          <w:szCs w:val="18"/>
          <w:lang w:eastAsia="en-US"/>
        </w:rPr>
        <w:instrText xml:space="preserve"> REF _Ref4148471 \h  \* MERGEFORMAT </w:instrText>
      </w:r>
      <w:r w:rsidRPr="00826421">
        <w:rPr>
          <w:rFonts w:asciiTheme="minorHAnsi" w:eastAsiaTheme="minorHAnsi" w:hAnsiTheme="minorHAnsi" w:cstheme="minorBidi"/>
          <w:color w:val="auto"/>
          <w:kern w:val="18"/>
          <w:sz w:val="18"/>
          <w:szCs w:val="18"/>
          <w:lang w:eastAsia="en-US"/>
        </w:rPr>
      </w:r>
      <w:r w:rsidRPr="00826421">
        <w:rPr>
          <w:rFonts w:asciiTheme="minorHAnsi" w:eastAsiaTheme="minorHAnsi" w:hAnsiTheme="minorHAnsi" w:cstheme="minorBidi"/>
          <w:color w:val="auto"/>
          <w:kern w:val="18"/>
          <w:sz w:val="18"/>
          <w:szCs w:val="18"/>
          <w:lang w:eastAsia="en-US"/>
        </w:rPr>
        <w:fldChar w:fldCharType="separate"/>
      </w:r>
      <w:r w:rsidR="00603781" w:rsidRPr="00603781">
        <w:rPr>
          <w:rFonts w:asciiTheme="minorHAnsi" w:eastAsiaTheme="minorHAnsi" w:hAnsiTheme="minorHAnsi" w:cstheme="minorBidi"/>
          <w:color w:val="auto"/>
          <w:kern w:val="18"/>
          <w:sz w:val="18"/>
          <w:szCs w:val="18"/>
          <w:lang w:eastAsia="en-US"/>
        </w:rPr>
        <w:t>Table 6</w:t>
      </w:r>
      <w:r w:rsidR="00603781" w:rsidRPr="00603781">
        <w:rPr>
          <w:rFonts w:asciiTheme="minorHAnsi" w:eastAsiaTheme="minorHAnsi" w:hAnsiTheme="minorHAnsi" w:cstheme="minorBidi"/>
          <w:color w:val="auto"/>
          <w:kern w:val="18"/>
          <w:sz w:val="18"/>
          <w:szCs w:val="18"/>
          <w:lang w:eastAsia="en-US"/>
        </w:rPr>
        <w:noBreakHyphen/>
        <w:t>1</w:t>
      </w:r>
      <w:r w:rsidRPr="00826421">
        <w:rPr>
          <w:rFonts w:asciiTheme="minorHAnsi" w:eastAsiaTheme="minorHAnsi" w:hAnsiTheme="minorHAnsi" w:cstheme="minorBidi"/>
          <w:color w:val="auto"/>
          <w:kern w:val="18"/>
          <w:sz w:val="18"/>
          <w:szCs w:val="18"/>
          <w:lang w:eastAsia="en-US"/>
        </w:rPr>
        <w:fldChar w:fldCharType="end"/>
      </w:r>
      <w:r w:rsidRPr="00826421">
        <w:rPr>
          <w:rFonts w:asciiTheme="minorHAnsi" w:eastAsiaTheme="minorHAnsi" w:hAnsiTheme="minorHAnsi" w:cstheme="minorBidi"/>
          <w:color w:val="auto"/>
          <w:kern w:val="18"/>
          <w:sz w:val="18"/>
          <w:szCs w:val="18"/>
          <w:lang w:eastAsia="en-US"/>
        </w:rPr>
        <w:t xml:space="preserve"> below. </w:t>
      </w:r>
      <w:r w:rsidRPr="00826421">
        <w:rPr>
          <w:rFonts w:asciiTheme="minorHAnsi" w:eastAsiaTheme="minorHAnsi" w:hAnsiTheme="minorHAnsi" w:cstheme="minorBidi"/>
          <w:color w:val="auto"/>
          <w:kern w:val="18"/>
          <w:sz w:val="18"/>
          <w:szCs w:val="18"/>
          <w:lang w:val="en-US" w:eastAsia="en-US"/>
        </w:rPr>
        <w:t>This gives a total of</w:t>
      </w:r>
      <w:r w:rsidRPr="00826421">
        <w:rPr>
          <w:rFonts w:asciiTheme="minorHAnsi" w:eastAsiaTheme="minorHAnsi" w:hAnsiTheme="minorHAnsi" w:cstheme="minorBidi"/>
          <w:b/>
          <w:color w:val="auto"/>
          <w:kern w:val="18"/>
          <w:sz w:val="18"/>
          <w:szCs w:val="18"/>
          <w:lang w:val="en-US" w:eastAsia="en-US"/>
        </w:rPr>
        <w:t xml:space="preserve"> </w:t>
      </w:r>
      <w:r w:rsidR="0040514E">
        <w:rPr>
          <w:rFonts w:asciiTheme="minorHAnsi" w:eastAsiaTheme="minorHAnsi" w:hAnsiTheme="minorHAnsi" w:cstheme="minorBidi"/>
          <w:b/>
          <w:color w:val="auto"/>
          <w:kern w:val="18"/>
          <w:sz w:val="18"/>
          <w:szCs w:val="18"/>
          <w:lang w:val="en-US" w:eastAsia="en-US"/>
        </w:rPr>
        <w:t>1,163</w:t>
      </w:r>
      <w:r w:rsidRPr="00826421">
        <w:rPr>
          <w:rFonts w:asciiTheme="minorHAnsi" w:eastAsiaTheme="minorHAnsi" w:hAnsiTheme="minorHAnsi" w:cstheme="minorBidi"/>
          <w:color w:val="auto"/>
          <w:kern w:val="18"/>
          <w:sz w:val="18"/>
          <w:szCs w:val="18"/>
          <w:lang w:val="en-US" w:eastAsia="en-US"/>
        </w:rPr>
        <w:t xml:space="preserve"> specialist dwellings (or bed spaces), for a 2011 population aged 75+ of </w:t>
      </w:r>
      <w:r w:rsidR="00EC3C9F">
        <w:rPr>
          <w:rFonts w:asciiTheme="minorHAnsi" w:eastAsiaTheme="minorHAnsi" w:hAnsiTheme="minorHAnsi" w:cstheme="minorBidi"/>
          <w:b/>
          <w:color w:val="auto"/>
          <w:kern w:val="18"/>
          <w:sz w:val="18"/>
          <w:szCs w:val="18"/>
          <w:lang w:eastAsia="en-US"/>
        </w:rPr>
        <w:t>5,505</w:t>
      </w:r>
      <w:r w:rsidRPr="00826421">
        <w:rPr>
          <w:rFonts w:asciiTheme="minorHAnsi" w:eastAsiaTheme="minorHAnsi" w:hAnsiTheme="minorHAnsi" w:cstheme="minorBidi"/>
          <w:b/>
          <w:color w:val="auto"/>
          <w:kern w:val="18"/>
          <w:sz w:val="18"/>
          <w:szCs w:val="18"/>
          <w:lang w:val="en-US" w:eastAsia="en-US"/>
        </w:rPr>
        <w:t>.</w:t>
      </w:r>
      <w:r w:rsidRPr="00826421">
        <w:rPr>
          <w:rFonts w:asciiTheme="minorHAnsi" w:eastAsiaTheme="minorHAnsi" w:hAnsiTheme="minorHAnsi" w:cstheme="minorBidi"/>
          <w:color w:val="auto"/>
          <w:kern w:val="18"/>
          <w:sz w:val="18"/>
          <w:szCs w:val="18"/>
          <w:lang w:val="en-US" w:eastAsia="en-US"/>
        </w:rPr>
        <w:t xml:space="preserve"> This suggests the actual rate of provision in </w:t>
      </w:r>
      <w:r w:rsidR="0015105E">
        <w:rPr>
          <w:rFonts w:asciiTheme="minorHAnsi" w:eastAsiaTheme="minorHAnsi" w:hAnsiTheme="minorHAnsi" w:cstheme="minorBidi"/>
          <w:color w:val="auto"/>
          <w:kern w:val="18"/>
          <w:sz w:val="18"/>
          <w:szCs w:val="18"/>
          <w:lang w:val="en-US" w:eastAsia="en-US"/>
        </w:rPr>
        <w:t>Weymouth</w:t>
      </w:r>
      <w:r w:rsidR="00EC3C9F">
        <w:rPr>
          <w:rFonts w:asciiTheme="minorHAnsi" w:eastAsiaTheme="minorHAnsi" w:hAnsiTheme="minorHAnsi" w:cstheme="minorBidi"/>
          <w:color w:val="auto"/>
          <w:kern w:val="18"/>
          <w:sz w:val="18"/>
          <w:szCs w:val="18"/>
          <w:lang w:val="en-US" w:eastAsia="en-US"/>
        </w:rPr>
        <w:t xml:space="preserve"> </w:t>
      </w:r>
      <w:r w:rsidRPr="00826421">
        <w:rPr>
          <w:rFonts w:asciiTheme="minorHAnsi" w:eastAsiaTheme="minorHAnsi" w:hAnsiTheme="minorHAnsi" w:cstheme="minorBidi"/>
          <w:color w:val="auto"/>
          <w:kern w:val="18"/>
          <w:sz w:val="18"/>
          <w:szCs w:val="18"/>
          <w:lang w:val="en-US" w:eastAsia="en-US"/>
        </w:rPr>
        <w:t xml:space="preserve">is approximately </w:t>
      </w:r>
      <w:r w:rsidR="00653258">
        <w:rPr>
          <w:rFonts w:asciiTheme="minorHAnsi" w:eastAsiaTheme="minorHAnsi" w:hAnsiTheme="minorHAnsi" w:cstheme="minorBidi"/>
          <w:b/>
          <w:color w:val="auto"/>
          <w:kern w:val="18"/>
          <w:sz w:val="18"/>
          <w:szCs w:val="18"/>
          <w:lang w:val="en-US" w:eastAsia="en-US"/>
        </w:rPr>
        <w:t>211</w:t>
      </w:r>
      <w:r w:rsidRPr="00826421">
        <w:rPr>
          <w:rFonts w:asciiTheme="minorHAnsi" w:eastAsiaTheme="minorHAnsi" w:hAnsiTheme="minorHAnsi" w:cstheme="minorBidi"/>
          <w:b/>
          <w:color w:val="auto"/>
          <w:kern w:val="18"/>
          <w:sz w:val="18"/>
          <w:szCs w:val="18"/>
          <w:lang w:val="en-US" w:eastAsia="en-US"/>
        </w:rPr>
        <w:t xml:space="preserve"> </w:t>
      </w:r>
      <w:r w:rsidRPr="00826421">
        <w:rPr>
          <w:rFonts w:asciiTheme="minorHAnsi" w:eastAsiaTheme="minorHAnsi" w:hAnsiTheme="minorHAnsi" w:cstheme="minorBidi"/>
          <w:color w:val="auto"/>
          <w:kern w:val="18"/>
          <w:sz w:val="18"/>
          <w:szCs w:val="18"/>
          <w:lang w:val="en-US" w:eastAsia="en-US"/>
        </w:rPr>
        <w:t>dwellings per 1</w:t>
      </w:r>
      <w:r w:rsidR="004C157F">
        <w:rPr>
          <w:rFonts w:asciiTheme="minorHAnsi" w:eastAsiaTheme="minorHAnsi" w:hAnsiTheme="minorHAnsi" w:cstheme="minorBidi"/>
          <w:color w:val="auto"/>
          <w:kern w:val="18"/>
          <w:sz w:val="18"/>
          <w:szCs w:val="18"/>
          <w:lang w:val="en-US" w:eastAsia="en-US"/>
        </w:rPr>
        <w:t>,</w:t>
      </w:r>
      <w:r w:rsidRPr="00826421">
        <w:rPr>
          <w:rFonts w:asciiTheme="minorHAnsi" w:eastAsiaTheme="minorHAnsi" w:hAnsiTheme="minorHAnsi" w:cstheme="minorBidi"/>
          <w:color w:val="auto"/>
          <w:kern w:val="18"/>
          <w:sz w:val="18"/>
          <w:szCs w:val="18"/>
          <w:lang w:val="en-US" w:eastAsia="en-US"/>
        </w:rPr>
        <w:t>000 population aged 75+.</w:t>
      </w:r>
    </w:p>
    <w:p w14:paraId="61029689" w14:textId="02961BFB" w:rsidR="00826421" w:rsidRPr="00826421" w:rsidRDefault="00826421" w:rsidP="00826421">
      <w:pPr>
        <w:keepNext/>
        <w:tabs>
          <w:tab w:val="left" w:pos="284"/>
        </w:tabs>
        <w:spacing w:before="0" w:after="120" w:line="240" w:lineRule="atLeast"/>
        <w:ind w:left="425"/>
        <w:jc w:val="both"/>
        <w:rPr>
          <w:rFonts w:asciiTheme="majorHAnsi" w:eastAsiaTheme="minorHAnsi" w:hAnsiTheme="majorHAnsi" w:cstheme="minorBidi"/>
          <w:b/>
          <w:bCs/>
          <w:color w:val="00B5E2" w:themeColor="accent1"/>
          <w:kern w:val="18"/>
          <w:sz w:val="18"/>
          <w:szCs w:val="18"/>
          <w:lang w:eastAsia="en-US"/>
        </w:rPr>
      </w:pPr>
      <w:bookmarkStart w:id="194" w:name="_Ref4148471"/>
      <w:r w:rsidRPr="00826421">
        <w:rPr>
          <w:rFonts w:asciiTheme="majorHAnsi" w:eastAsiaTheme="minorHAnsi" w:hAnsiTheme="majorHAnsi" w:cstheme="minorBidi"/>
          <w:b/>
          <w:bCs/>
          <w:color w:val="00B5E2" w:themeColor="accent1"/>
          <w:kern w:val="18"/>
          <w:sz w:val="18"/>
          <w:szCs w:val="18"/>
          <w:lang w:eastAsia="en-US"/>
        </w:rPr>
        <w:t xml:space="preserve">Table </w:t>
      </w:r>
      <w:r w:rsidR="00BA4C32">
        <w:rPr>
          <w:rFonts w:asciiTheme="majorHAnsi" w:eastAsiaTheme="minorHAnsi" w:hAnsiTheme="majorHAnsi" w:cstheme="minorBidi"/>
          <w:b/>
          <w:bCs/>
          <w:color w:val="00B5E2" w:themeColor="accent1"/>
          <w:kern w:val="18"/>
          <w:sz w:val="18"/>
          <w:szCs w:val="18"/>
          <w:lang w:eastAsia="en-US"/>
        </w:rPr>
        <w:fldChar w:fldCharType="begin"/>
      </w:r>
      <w:r w:rsidR="00BA4C32">
        <w:rPr>
          <w:rFonts w:asciiTheme="majorHAnsi" w:eastAsiaTheme="minorHAnsi" w:hAnsiTheme="majorHAnsi" w:cstheme="minorBidi"/>
          <w:b/>
          <w:bCs/>
          <w:color w:val="00B5E2" w:themeColor="accent1"/>
          <w:kern w:val="18"/>
          <w:sz w:val="18"/>
          <w:szCs w:val="18"/>
          <w:lang w:eastAsia="en-US"/>
        </w:rPr>
        <w:instrText xml:space="preserve"> STYLEREF 1 \s </w:instrText>
      </w:r>
      <w:r w:rsidR="00BA4C32">
        <w:rPr>
          <w:rFonts w:asciiTheme="majorHAnsi" w:eastAsiaTheme="minorHAnsi" w:hAnsiTheme="majorHAnsi" w:cstheme="minorBidi"/>
          <w:b/>
          <w:bCs/>
          <w:color w:val="00B5E2" w:themeColor="accent1"/>
          <w:kern w:val="18"/>
          <w:sz w:val="18"/>
          <w:szCs w:val="18"/>
          <w:lang w:eastAsia="en-US"/>
        </w:rPr>
        <w:fldChar w:fldCharType="separate"/>
      </w:r>
      <w:r w:rsidR="00BA4C32">
        <w:rPr>
          <w:rFonts w:asciiTheme="majorHAnsi" w:eastAsiaTheme="minorHAnsi" w:hAnsiTheme="majorHAnsi" w:cstheme="minorBidi"/>
          <w:b/>
          <w:bCs/>
          <w:noProof/>
          <w:color w:val="00B5E2" w:themeColor="accent1"/>
          <w:kern w:val="18"/>
          <w:sz w:val="18"/>
          <w:szCs w:val="18"/>
          <w:lang w:eastAsia="en-US"/>
        </w:rPr>
        <w:t>6</w:t>
      </w:r>
      <w:r w:rsidR="00BA4C32">
        <w:rPr>
          <w:rFonts w:asciiTheme="majorHAnsi" w:eastAsiaTheme="minorHAnsi" w:hAnsiTheme="majorHAnsi" w:cstheme="minorBidi"/>
          <w:b/>
          <w:bCs/>
          <w:color w:val="00B5E2" w:themeColor="accent1"/>
          <w:kern w:val="18"/>
          <w:sz w:val="18"/>
          <w:szCs w:val="18"/>
          <w:lang w:eastAsia="en-US"/>
        </w:rPr>
        <w:fldChar w:fldCharType="end"/>
      </w:r>
      <w:r w:rsidR="00BA4C32">
        <w:rPr>
          <w:rFonts w:asciiTheme="majorHAnsi" w:eastAsiaTheme="minorHAnsi" w:hAnsiTheme="majorHAnsi" w:cstheme="minorBidi"/>
          <w:b/>
          <w:bCs/>
          <w:color w:val="00B5E2" w:themeColor="accent1"/>
          <w:kern w:val="18"/>
          <w:sz w:val="18"/>
          <w:szCs w:val="18"/>
          <w:lang w:eastAsia="en-US"/>
        </w:rPr>
        <w:noBreakHyphen/>
      </w:r>
      <w:r w:rsidR="00BA4C32">
        <w:rPr>
          <w:rFonts w:asciiTheme="majorHAnsi" w:eastAsiaTheme="minorHAnsi" w:hAnsiTheme="majorHAnsi" w:cstheme="minorBidi"/>
          <w:b/>
          <w:bCs/>
          <w:color w:val="00B5E2" w:themeColor="accent1"/>
          <w:kern w:val="18"/>
          <w:sz w:val="18"/>
          <w:szCs w:val="18"/>
          <w:lang w:eastAsia="en-US"/>
        </w:rPr>
        <w:fldChar w:fldCharType="begin"/>
      </w:r>
      <w:r w:rsidR="00BA4C32">
        <w:rPr>
          <w:rFonts w:asciiTheme="majorHAnsi" w:eastAsiaTheme="minorHAnsi" w:hAnsiTheme="majorHAnsi" w:cstheme="minorBidi"/>
          <w:b/>
          <w:bCs/>
          <w:color w:val="00B5E2" w:themeColor="accent1"/>
          <w:kern w:val="18"/>
          <w:sz w:val="18"/>
          <w:szCs w:val="18"/>
          <w:lang w:eastAsia="en-US"/>
        </w:rPr>
        <w:instrText xml:space="preserve"> SEQ Table \* ARABIC \s 1 </w:instrText>
      </w:r>
      <w:r w:rsidR="00BA4C32">
        <w:rPr>
          <w:rFonts w:asciiTheme="majorHAnsi" w:eastAsiaTheme="minorHAnsi" w:hAnsiTheme="majorHAnsi" w:cstheme="minorBidi"/>
          <w:b/>
          <w:bCs/>
          <w:color w:val="00B5E2" w:themeColor="accent1"/>
          <w:kern w:val="18"/>
          <w:sz w:val="18"/>
          <w:szCs w:val="18"/>
          <w:lang w:eastAsia="en-US"/>
        </w:rPr>
        <w:fldChar w:fldCharType="separate"/>
      </w:r>
      <w:r w:rsidR="00BA4C32">
        <w:rPr>
          <w:rFonts w:asciiTheme="majorHAnsi" w:eastAsiaTheme="minorHAnsi" w:hAnsiTheme="majorHAnsi" w:cstheme="minorBidi"/>
          <w:b/>
          <w:bCs/>
          <w:noProof/>
          <w:color w:val="00B5E2" w:themeColor="accent1"/>
          <w:kern w:val="18"/>
          <w:sz w:val="18"/>
          <w:szCs w:val="18"/>
          <w:lang w:eastAsia="en-US"/>
        </w:rPr>
        <w:t>1</w:t>
      </w:r>
      <w:r w:rsidR="00BA4C32">
        <w:rPr>
          <w:rFonts w:asciiTheme="majorHAnsi" w:eastAsiaTheme="minorHAnsi" w:hAnsiTheme="majorHAnsi" w:cstheme="minorBidi"/>
          <w:b/>
          <w:bCs/>
          <w:color w:val="00B5E2" w:themeColor="accent1"/>
          <w:kern w:val="18"/>
          <w:sz w:val="18"/>
          <w:szCs w:val="18"/>
          <w:lang w:eastAsia="en-US"/>
        </w:rPr>
        <w:fldChar w:fldCharType="end"/>
      </w:r>
      <w:bookmarkEnd w:id="194"/>
      <w:r w:rsidRPr="00826421">
        <w:rPr>
          <w:rFonts w:asciiTheme="majorHAnsi" w:eastAsiaTheme="minorHAnsi" w:hAnsiTheme="majorHAnsi" w:cstheme="minorBidi"/>
          <w:b/>
          <w:bCs/>
          <w:color w:val="00B5E2" w:themeColor="accent1"/>
          <w:kern w:val="18"/>
          <w:sz w:val="18"/>
          <w:szCs w:val="18"/>
          <w:lang w:eastAsia="en-US"/>
        </w:rPr>
        <w:t>: Existing specialist housing for the elderly (</w:t>
      </w:r>
      <w:r w:rsidR="00481241">
        <w:rPr>
          <w:rFonts w:asciiTheme="majorHAnsi" w:eastAsiaTheme="minorHAnsi" w:hAnsiTheme="majorHAnsi" w:cstheme="minorBidi"/>
          <w:b/>
          <w:bCs/>
          <w:color w:val="00B5E2" w:themeColor="accent1"/>
          <w:kern w:val="18"/>
          <w:sz w:val="18"/>
          <w:szCs w:val="18"/>
          <w:lang w:eastAsia="en-US"/>
        </w:rPr>
        <w:t>excluding care homes</w:t>
      </w:r>
      <w:r w:rsidRPr="00826421">
        <w:rPr>
          <w:rFonts w:asciiTheme="majorHAnsi" w:eastAsiaTheme="minorHAnsi" w:hAnsiTheme="majorHAnsi" w:cstheme="minorBidi"/>
          <w:b/>
          <w:bCs/>
          <w:color w:val="00B5E2" w:themeColor="accent1"/>
          <w:kern w:val="18"/>
          <w:sz w:val="18"/>
          <w:szCs w:val="18"/>
          <w:lang w:eastAsia="en-US"/>
        </w:rPr>
        <w:t xml:space="preserve">) in </w:t>
      </w:r>
      <w:r w:rsidR="0015105E">
        <w:rPr>
          <w:rFonts w:asciiTheme="majorHAnsi" w:eastAsiaTheme="minorHAnsi" w:hAnsiTheme="majorHAnsi" w:cstheme="minorBidi"/>
          <w:b/>
          <w:bCs/>
          <w:color w:val="00B5E2" w:themeColor="accent1"/>
          <w:kern w:val="18"/>
          <w:sz w:val="18"/>
          <w:szCs w:val="18"/>
          <w:lang w:eastAsia="en-US"/>
        </w:rPr>
        <w:t>Weymouth</w:t>
      </w:r>
    </w:p>
    <w:tbl>
      <w:tblPr>
        <w:tblW w:w="4725" w:type="pct"/>
        <w:tblInd w:w="534" w:type="dxa"/>
        <w:tblLayout w:type="fixed"/>
        <w:tblLook w:val="04A0" w:firstRow="1" w:lastRow="0" w:firstColumn="1" w:lastColumn="0" w:noHBand="0" w:noVBand="1"/>
      </w:tblPr>
      <w:tblGrid>
        <w:gridCol w:w="418"/>
        <w:gridCol w:w="2020"/>
        <w:gridCol w:w="2692"/>
        <w:gridCol w:w="852"/>
        <w:gridCol w:w="1638"/>
        <w:gridCol w:w="1664"/>
      </w:tblGrid>
      <w:tr w:rsidR="00826421" w:rsidRPr="00826421" w14:paraId="68AE61D1"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3B55E2E8" w14:textId="77777777" w:rsidR="00826421" w:rsidRPr="00826421" w:rsidRDefault="00826421" w:rsidP="00826421">
            <w:pPr>
              <w:spacing w:before="0" w:after="0" w:line="240" w:lineRule="auto"/>
              <w:jc w:val="both"/>
              <w:rPr>
                <w:rFonts w:asciiTheme="minorHAnsi" w:hAnsiTheme="minorHAnsi" w:cstheme="minorHAnsi"/>
                <w:b/>
                <w:color w:val="FFFFFF" w:themeColor="background1"/>
                <w:sz w:val="18"/>
                <w:szCs w:val="18"/>
              </w:rPr>
            </w:pPr>
          </w:p>
        </w:tc>
        <w:tc>
          <w:tcPr>
            <w:tcW w:w="1088"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68EEAFA7" w14:textId="77777777" w:rsidR="00826421" w:rsidRPr="00826421" w:rsidRDefault="00826421" w:rsidP="00826421">
            <w:pPr>
              <w:spacing w:before="0" w:after="0" w:line="240" w:lineRule="auto"/>
              <w:jc w:val="both"/>
              <w:rPr>
                <w:rFonts w:asciiTheme="minorHAnsi" w:hAnsiTheme="minorHAnsi" w:cstheme="minorHAnsi"/>
                <w:b/>
                <w:color w:val="FFFFFF" w:themeColor="background1"/>
                <w:sz w:val="18"/>
                <w:szCs w:val="18"/>
              </w:rPr>
            </w:pPr>
            <w:r w:rsidRPr="00826421">
              <w:rPr>
                <w:rFonts w:asciiTheme="minorHAnsi" w:hAnsiTheme="minorHAnsi" w:cstheme="minorHAnsi"/>
                <w:b/>
                <w:color w:val="FFFFFF" w:themeColor="background1"/>
                <w:sz w:val="18"/>
                <w:szCs w:val="18"/>
              </w:rPr>
              <w:t>Name</w:t>
            </w:r>
          </w:p>
        </w:tc>
        <w:tc>
          <w:tcPr>
            <w:tcW w:w="1450"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27D57D8D" w14:textId="77777777" w:rsidR="00826421" w:rsidRPr="00826421" w:rsidRDefault="00826421" w:rsidP="00826421">
            <w:pPr>
              <w:spacing w:before="0" w:after="0" w:line="240" w:lineRule="auto"/>
              <w:jc w:val="both"/>
              <w:rPr>
                <w:rFonts w:asciiTheme="minorHAnsi" w:hAnsiTheme="minorHAnsi" w:cstheme="minorHAnsi"/>
                <w:b/>
                <w:color w:val="FFFFFF" w:themeColor="background1"/>
                <w:sz w:val="18"/>
                <w:szCs w:val="18"/>
              </w:rPr>
            </w:pPr>
            <w:r w:rsidRPr="00826421">
              <w:rPr>
                <w:rFonts w:asciiTheme="minorHAnsi" w:hAnsiTheme="minorHAnsi" w:cstheme="minorHAnsi"/>
                <w:b/>
                <w:color w:val="FFFFFF" w:themeColor="background1"/>
                <w:sz w:val="18"/>
                <w:szCs w:val="18"/>
              </w:rPr>
              <w:t>Description</w:t>
            </w:r>
          </w:p>
        </w:tc>
        <w:tc>
          <w:tcPr>
            <w:tcW w:w="459"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443E4292" w14:textId="77777777" w:rsidR="00826421" w:rsidRPr="00826421" w:rsidRDefault="00826421" w:rsidP="00826421">
            <w:pPr>
              <w:spacing w:before="0" w:after="0" w:line="240" w:lineRule="auto"/>
              <w:jc w:val="both"/>
              <w:rPr>
                <w:rFonts w:asciiTheme="minorHAnsi" w:hAnsiTheme="minorHAnsi" w:cstheme="minorHAnsi"/>
                <w:b/>
                <w:color w:val="FFFFFF" w:themeColor="background1"/>
                <w:sz w:val="18"/>
                <w:szCs w:val="18"/>
              </w:rPr>
            </w:pPr>
            <w:r w:rsidRPr="00826421">
              <w:rPr>
                <w:rFonts w:asciiTheme="minorHAnsi" w:hAnsiTheme="minorHAnsi" w:cstheme="minorHAnsi"/>
                <w:b/>
                <w:color w:val="FFFFFF" w:themeColor="background1"/>
                <w:sz w:val="18"/>
                <w:szCs w:val="18"/>
              </w:rPr>
              <w:t>Bed</w:t>
            </w:r>
          </w:p>
          <w:p w14:paraId="238CA54C" w14:textId="77777777" w:rsidR="00826421" w:rsidRPr="00826421" w:rsidRDefault="00826421" w:rsidP="00826421">
            <w:pPr>
              <w:spacing w:before="0" w:after="0" w:line="240" w:lineRule="auto"/>
              <w:jc w:val="both"/>
              <w:rPr>
                <w:rFonts w:asciiTheme="minorHAnsi" w:hAnsiTheme="minorHAnsi" w:cstheme="minorHAnsi"/>
                <w:b/>
                <w:color w:val="FFFFFF" w:themeColor="background1"/>
                <w:sz w:val="18"/>
                <w:szCs w:val="18"/>
              </w:rPr>
            </w:pPr>
            <w:r w:rsidRPr="00826421">
              <w:rPr>
                <w:rFonts w:asciiTheme="minorHAnsi" w:hAnsiTheme="minorHAnsi" w:cstheme="minorHAnsi"/>
                <w:b/>
                <w:color w:val="FFFFFF" w:themeColor="background1"/>
                <w:sz w:val="18"/>
                <w:szCs w:val="18"/>
              </w:rPr>
              <w:t>spaces</w:t>
            </w:r>
          </w:p>
        </w:tc>
        <w:tc>
          <w:tcPr>
            <w:tcW w:w="882"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65AE084F" w14:textId="77777777" w:rsidR="00826421" w:rsidRPr="00826421" w:rsidRDefault="00826421" w:rsidP="00826421">
            <w:pPr>
              <w:spacing w:before="0" w:after="0" w:line="240" w:lineRule="auto"/>
              <w:jc w:val="both"/>
              <w:rPr>
                <w:rFonts w:asciiTheme="minorHAnsi" w:hAnsiTheme="minorHAnsi" w:cstheme="minorHAnsi"/>
                <w:b/>
                <w:color w:val="FFFFFF" w:themeColor="background1"/>
                <w:sz w:val="18"/>
                <w:szCs w:val="18"/>
              </w:rPr>
            </w:pPr>
            <w:r w:rsidRPr="00826421">
              <w:rPr>
                <w:rFonts w:asciiTheme="minorHAnsi" w:hAnsiTheme="minorHAnsi" w:cstheme="minorHAnsi"/>
                <w:b/>
                <w:color w:val="FFFFFF" w:themeColor="background1"/>
                <w:sz w:val="18"/>
                <w:szCs w:val="18"/>
              </w:rPr>
              <w:t>Tenure</w:t>
            </w:r>
          </w:p>
        </w:tc>
        <w:tc>
          <w:tcPr>
            <w:tcW w:w="896"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6081A546" w14:textId="77777777" w:rsidR="00826421" w:rsidRPr="00826421" w:rsidRDefault="00826421" w:rsidP="00826421">
            <w:pPr>
              <w:spacing w:before="0" w:after="0" w:line="240" w:lineRule="auto"/>
              <w:jc w:val="both"/>
              <w:rPr>
                <w:rFonts w:asciiTheme="minorHAnsi" w:hAnsiTheme="minorHAnsi" w:cstheme="minorHAnsi"/>
                <w:b/>
                <w:color w:val="FFFFFF" w:themeColor="background1"/>
                <w:sz w:val="18"/>
                <w:szCs w:val="18"/>
              </w:rPr>
            </w:pPr>
            <w:r w:rsidRPr="00826421">
              <w:rPr>
                <w:rFonts w:asciiTheme="minorHAnsi" w:hAnsiTheme="minorHAnsi" w:cstheme="minorHAnsi"/>
                <w:b/>
                <w:color w:val="FFFFFF" w:themeColor="background1"/>
                <w:sz w:val="18"/>
                <w:szCs w:val="18"/>
              </w:rPr>
              <w:t>Type</w:t>
            </w:r>
          </w:p>
        </w:tc>
      </w:tr>
      <w:tr w:rsidR="00826421" w:rsidRPr="00826421" w14:paraId="63EABCD8"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B84A4" w14:textId="77777777" w:rsidR="00826421" w:rsidRPr="00826421" w:rsidRDefault="00826421" w:rsidP="00832DE0">
            <w:pPr>
              <w:spacing w:before="0" w:after="0" w:line="240" w:lineRule="auto"/>
              <w:rPr>
                <w:rFonts w:asciiTheme="minorHAnsi" w:hAnsiTheme="minorHAnsi" w:cstheme="minorHAnsi"/>
                <w:sz w:val="18"/>
                <w:szCs w:val="18"/>
              </w:rPr>
            </w:pPr>
            <w:r w:rsidRPr="00826421">
              <w:rPr>
                <w:rFonts w:asciiTheme="minorHAnsi" w:hAnsiTheme="minorHAnsi" w:cstheme="minorHAnsi"/>
                <w:sz w:val="18"/>
                <w:szCs w:val="18"/>
              </w:rPr>
              <w:t>1</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5A4C48C4" w14:textId="6AC93027"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Beachview Close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3B906217" w14:textId="5621600C" w:rsidR="00826421" w:rsidRPr="00826421" w:rsidRDefault="00EC3C9F">
            <w:pPr>
              <w:spacing w:before="0" w:after="0" w:line="240" w:lineRule="auto"/>
              <w:rPr>
                <w:rFonts w:asciiTheme="minorHAnsi" w:hAnsiTheme="minorHAnsi" w:cstheme="minorHAnsi"/>
                <w:sz w:val="18"/>
                <w:szCs w:val="18"/>
              </w:rPr>
            </w:pPr>
            <w:r w:rsidRPr="00EC3C9F">
              <w:rPr>
                <w:rFonts w:asciiTheme="minorHAnsi" w:hAnsiTheme="minorHAnsi" w:cstheme="minorHAnsi"/>
                <w:sz w:val="18"/>
                <w:szCs w:val="18"/>
              </w:rPr>
              <w:t>70 bungalows. Sizes 1 bedroom, 2 bedroom.</w:t>
            </w:r>
            <w:r w:rsidRPr="00EC3C9F" w:rsidDel="00EC3C9F">
              <w:rPr>
                <w:rFonts w:asciiTheme="minorHAnsi" w:hAnsiTheme="minorHAnsi" w:cstheme="minorHAnsi"/>
                <w:sz w:val="18"/>
                <w:szCs w:val="18"/>
              </w:rPr>
              <w:t xml:space="preserve"> </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2D0FF2DC" w14:textId="7ED6397A"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70</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57E4A7FB" w14:textId="20A69918"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7A0D1BA7" w14:textId="1FE4A0BE"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Bungalows</w:t>
            </w:r>
          </w:p>
        </w:tc>
      </w:tr>
      <w:tr w:rsidR="00826421" w:rsidRPr="00826421" w14:paraId="3754AD8A"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B88F4" w14:textId="77777777" w:rsidR="00826421" w:rsidRPr="00826421" w:rsidRDefault="00826421" w:rsidP="00832DE0">
            <w:pPr>
              <w:spacing w:before="0" w:after="0" w:line="240" w:lineRule="auto"/>
              <w:rPr>
                <w:rFonts w:asciiTheme="minorHAnsi" w:hAnsiTheme="minorHAnsi" w:cstheme="minorHAnsi"/>
                <w:sz w:val="18"/>
                <w:szCs w:val="18"/>
              </w:rPr>
            </w:pPr>
            <w:r w:rsidRPr="00826421">
              <w:rPr>
                <w:rFonts w:asciiTheme="minorHAnsi" w:hAnsiTheme="minorHAnsi" w:cstheme="minorHAnsi"/>
                <w:sz w:val="18"/>
                <w:szCs w:val="18"/>
              </w:rPr>
              <w:t>2</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35A1D45B" w14:textId="13C98862"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Bincombe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1C5C6720" w14:textId="4A2DF58A"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118 flats, bungalows. Sizes 1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1FECF5B8" w14:textId="304A3A1C"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118</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609B4512" w14:textId="004B5EC5"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3FB5AA57" w14:textId="361DC997"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Bungalows</w:t>
            </w:r>
          </w:p>
        </w:tc>
      </w:tr>
      <w:tr w:rsidR="00826421" w:rsidRPr="00826421" w14:paraId="288CE174"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24A1E" w14:textId="77777777" w:rsidR="00826421" w:rsidRPr="00826421" w:rsidRDefault="00826421" w:rsidP="00832DE0">
            <w:pPr>
              <w:spacing w:before="0" w:after="0" w:line="240" w:lineRule="auto"/>
              <w:rPr>
                <w:rFonts w:asciiTheme="minorHAnsi" w:hAnsiTheme="minorHAnsi" w:cstheme="minorHAnsi"/>
                <w:sz w:val="18"/>
                <w:szCs w:val="18"/>
              </w:rPr>
            </w:pPr>
            <w:r w:rsidRPr="00826421">
              <w:rPr>
                <w:rFonts w:asciiTheme="minorHAnsi" w:hAnsiTheme="minorHAnsi" w:cstheme="minorHAnsi"/>
                <w:sz w:val="18"/>
                <w:szCs w:val="18"/>
              </w:rPr>
              <w:t>3</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75324992" w14:textId="27250A03"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Compton Lodge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253D5CBA" w14:textId="474E28A2"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16 flats.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3E1B1A9F" w14:textId="2A8D9A39"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16</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30D91171" w14:textId="7835DAEB"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Leasehold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127EE110" w14:textId="3B4D4EEF" w:rsidR="00826421" w:rsidRPr="00826421"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Flats</w:t>
            </w:r>
          </w:p>
        </w:tc>
      </w:tr>
      <w:tr w:rsidR="00826421" w:rsidRPr="00826421" w14:paraId="52BE3D05"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1F349" w14:textId="77777777" w:rsidR="00826421" w:rsidRPr="00826421" w:rsidRDefault="00826421" w:rsidP="00832DE0">
            <w:pPr>
              <w:spacing w:before="0" w:after="0" w:line="240" w:lineRule="auto"/>
              <w:rPr>
                <w:rFonts w:asciiTheme="minorHAnsi" w:hAnsiTheme="minorHAnsi" w:cstheme="minorHAnsi"/>
                <w:sz w:val="18"/>
                <w:szCs w:val="18"/>
              </w:rPr>
            </w:pPr>
            <w:r w:rsidRPr="00826421">
              <w:rPr>
                <w:rFonts w:asciiTheme="minorHAnsi" w:hAnsiTheme="minorHAnsi" w:cstheme="minorHAnsi"/>
                <w:sz w:val="18"/>
                <w:szCs w:val="18"/>
              </w:rPr>
              <w:t>4</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28CF10B0" w14:textId="62B56137"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Devenish Close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2ABFE942" w14:textId="66C26B16"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25 flats, bungalows. Sizes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1F646118" w14:textId="1801A4B7" w:rsidR="00826421" w:rsidRPr="00826421"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25</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68EDA092" w14:textId="15B50E2A" w:rsidR="00826421" w:rsidRPr="00826421"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7F35EC7C" w14:textId="41102C0E" w:rsidR="00826421" w:rsidRPr="00826421" w:rsidRDefault="00EC3C9F">
            <w:pPr>
              <w:spacing w:before="0" w:after="0" w:line="240" w:lineRule="auto"/>
              <w:rPr>
                <w:rFonts w:asciiTheme="minorHAnsi" w:hAnsiTheme="minorHAnsi" w:cstheme="minorHAnsi"/>
                <w:sz w:val="18"/>
                <w:szCs w:val="18"/>
              </w:rPr>
            </w:pPr>
            <w:r>
              <w:rPr>
                <w:rFonts w:asciiTheme="minorHAnsi" w:hAnsiTheme="minorHAnsi" w:cstheme="minorHAnsi"/>
                <w:sz w:val="18"/>
                <w:szCs w:val="18"/>
              </w:rPr>
              <w:t>Sheltered housing</w:t>
            </w:r>
          </w:p>
        </w:tc>
      </w:tr>
      <w:tr w:rsidR="00F92BEE" w:rsidRPr="00826421" w14:paraId="404C5101"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3FFE9" w14:textId="7D95C568" w:rsidR="00F92BEE" w:rsidRPr="00826421" w:rsidRDefault="00F92BEE" w:rsidP="00832DE0">
            <w:pPr>
              <w:spacing w:before="0" w:after="0" w:line="240" w:lineRule="auto"/>
              <w:rPr>
                <w:rFonts w:asciiTheme="minorHAnsi" w:hAnsiTheme="minorHAnsi" w:cstheme="minorHAnsi"/>
                <w:sz w:val="18"/>
                <w:szCs w:val="18"/>
              </w:rPr>
            </w:pPr>
            <w:r>
              <w:rPr>
                <w:rFonts w:asciiTheme="minorHAnsi" w:hAnsiTheme="minorHAnsi" w:cstheme="minorHAnsi"/>
                <w:sz w:val="18"/>
                <w:szCs w:val="18"/>
              </w:rPr>
              <w:t>5</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062D4818" w14:textId="5CEEAEF5"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Dorset Close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123367E9" w14:textId="5F0DA7B9"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61 flats, bungalows.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5926090B" w14:textId="347104FF"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61</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2335DC11" w14:textId="217CA3BE"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64482F52" w14:textId="24717335"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Bungalows</w:t>
            </w:r>
          </w:p>
        </w:tc>
      </w:tr>
      <w:tr w:rsidR="00F92BEE" w:rsidRPr="00826421" w14:paraId="0B1CB932"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D0F06" w14:textId="5802678E" w:rsidR="00F92BEE" w:rsidRDefault="00F92BEE" w:rsidP="00832DE0">
            <w:pPr>
              <w:spacing w:before="0" w:after="0" w:line="240" w:lineRule="auto"/>
              <w:rPr>
                <w:rFonts w:asciiTheme="minorHAnsi" w:hAnsiTheme="minorHAnsi" w:cstheme="minorHAnsi"/>
                <w:sz w:val="18"/>
                <w:szCs w:val="18"/>
              </w:rPr>
            </w:pPr>
            <w:r>
              <w:rPr>
                <w:rFonts w:asciiTheme="minorHAnsi" w:hAnsiTheme="minorHAnsi" w:cstheme="minorHAnsi"/>
                <w:sz w:val="18"/>
                <w:szCs w:val="18"/>
              </w:rPr>
              <w:t>6</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21F63199" w14:textId="303AB39D"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Fiveways</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7CD97AF1" w14:textId="12DD0207"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122 bungalows.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3E4E70E1" w14:textId="525C52B2"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122</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624D2EFE" w14:textId="55022EF1"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4610BC83" w14:textId="34F256FA" w:rsidR="00F92BEE" w:rsidRDefault="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Bungalows</w:t>
            </w:r>
          </w:p>
        </w:tc>
      </w:tr>
      <w:tr w:rsidR="00F92BEE" w:rsidRPr="00826421" w14:paraId="6EAF2BCD"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D79AA" w14:textId="66BBF1E1"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7</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00D13964" w14:textId="7EEE8FB0"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George Thorne House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75936181" w14:textId="5D07A968"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23 flats. Sizes studio, 1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32108A33" w14:textId="797E3619"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23</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3F92A0F7" w14:textId="41EBF3C6"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773606C8" w14:textId="1656C860"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Sheltered housing</w:t>
            </w:r>
          </w:p>
        </w:tc>
      </w:tr>
      <w:tr w:rsidR="00F92BEE" w:rsidRPr="00826421" w14:paraId="206F03FD"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7ECCF6" w14:textId="7B8B8F47"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8</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6089BE73" w14:textId="1D768857"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Harbour Lights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1F5C2DC0" w14:textId="47FA8307"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43 flats.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2E53EEC6" w14:textId="085EB9E0"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43</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64FBFB78" w14:textId="2FDD0EF4"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Leasehold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31EB06C2" w14:textId="6A18AA99"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Flats</w:t>
            </w:r>
          </w:p>
        </w:tc>
      </w:tr>
      <w:tr w:rsidR="00F92BEE" w:rsidRPr="00826421" w14:paraId="13735B52"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8CA35" w14:textId="198BC546"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9</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6BF208FA" w14:textId="33C07A31"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Hardys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3F4F41BA" w14:textId="0C4CC8FD"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38 flats.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5E994D6B" w14:textId="7E5CAE2D"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38</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3A3BDB56" w14:textId="43828D47"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Leasehold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255A4770" w14:textId="5680892D"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Flats</w:t>
            </w:r>
          </w:p>
        </w:tc>
      </w:tr>
      <w:tr w:rsidR="00F92BEE" w:rsidRPr="00826421" w14:paraId="492DBFFF"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27CA5" w14:textId="2AAA2BE6"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10</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6284C0BF" w14:textId="13C8E26D"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Holly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19E3546D" w14:textId="7FF4FB53"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34 flats. Sizes studio, 1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412AA8CC" w14:textId="2F04803F"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34</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1C9A73BA" w14:textId="55EC4768"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6C566356" w14:textId="328EBFE7"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Sheltered housing</w:t>
            </w:r>
          </w:p>
        </w:tc>
      </w:tr>
      <w:tr w:rsidR="00F92BEE" w:rsidRPr="00826421" w14:paraId="6906FB2A"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F5C3B" w14:textId="71A42DB6"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11</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37A24955" w14:textId="245E19CC"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Jenner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67E40C21" w14:textId="108B4DCB"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60 flats.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32B24E6B" w14:textId="73BA6B31"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60</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7D771F15" w14:textId="50EB762A"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Leasehold and Rent (market)</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5DF05C04" w14:textId="6FFEB499"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Flats</w:t>
            </w:r>
          </w:p>
        </w:tc>
      </w:tr>
      <w:tr w:rsidR="00F92BEE" w:rsidRPr="00826421" w14:paraId="415C4BB4" w14:textId="77777777" w:rsidTr="00832DE0">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BB5E0" w14:textId="36D76249"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12</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0FED1391" w14:textId="0D8321C8"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Jonathan &amp; Rebecca Edwards Charity</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15145634" w14:textId="7365A0DF"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11 bungalows. Sizes 1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483BC907" w14:textId="6020E0E8"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11</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389BFDF7" w14:textId="3E28D09B"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536AC033" w14:textId="19ACB5FA"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Bungalows</w:t>
            </w:r>
          </w:p>
        </w:tc>
      </w:tr>
      <w:tr w:rsidR="00F92BEE" w:rsidRPr="00826421" w14:paraId="35E1EF95"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80080" w14:textId="59AFEBD7" w:rsidR="00F92BEE" w:rsidRDefault="00F92BEE"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13</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3D080EA2" w14:textId="59E08F84" w:rsidR="00F92BEE" w:rsidRDefault="003A3894"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Lawrance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79263869" w14:textId="45DC418E" w:rsidR="00F92BEE"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24 flats. 1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4A4F12FF" w14:textId="10532BA9" w:rsidR="00F92BEE"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24</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5698AE68" w14:textId="74FC1700" w:rsidR="00F92BEE"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3A67A998" w14:textId="5F275F29" w:rsidR="00F92BEE"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Sheltered housing</w:t>
            </w:r>
          </w:p>
        </w:tc>
      </w:tr>
      <w:tr w:rsidR="005F07DF" w:rsidRPr="00826421" w14:paraId="429933E0"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B552C" w14:textId="3E51F723"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14</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2EAF4663" w14:textId="5C313452"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Littlefield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152C0FCC" w14:textId="6E3D9BE9"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11 bungalows. Sizes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5666B1B1" w14:textId="4FC1F0F6"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11</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3CBBB010" w14:textId="6BA7A21E"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Freehold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075E2AB6" w14:textId="1A70E082"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Bungalows</w:t>
            </w:r>
          </w:p>
        </w:tc>
      </w:tr>
      <w:tr w:rsidR="005F07DF" w:rsidRPr="00826421" w14:paraId="6B70BB09"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9C5F6" w14:textId="4F51D6B9"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15</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1BFC2598" w14:textId="51F74837"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Macpherson House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333AE6AD" w14:textId="07FCBC58"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10 flats. Sizes studio, 1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75B045FF" w14:textId="31B451AF"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10</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067A4EF6" w14:textId="6B882453"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1D33E8A5" w14:textId="73C6EE0A"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Sheltered housing</w:t>
            </w:r>
          </w:p>
        </w:tc>
      </w:tr>
      <w:tr w:rsidR="005F07DF" w:rsidRPr="00826421" w14:paraId="2C5DD254"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EDCDB" w14:textId="372025A0"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16</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446BB106" w14:textId="4B14D131"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Nightingale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7273097F" w14:textId="4610E07E"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42 flats.</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42403091" w14:textId="317418EE"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42</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33940604" w14:textId="53CE2866"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Leasehold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50B78B0A" w14:textId="4F0FDD5B"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Sheltered housing</w:t>
            </w:r>
          </w:p>
        </w:tc>
      </w:tr>
      <w:tr w:rsidR="005F07DF" w:rsidRPr="00826421" w14:paraId="0DE67AFC"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C66CF" w14:textId="698B7827"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17</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3A90C3AE" w14:textId="28F1246D"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Pinnacle Care &amp; Retirement Village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5EAFB1B1" w14:textId="745CD486"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195 flats.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1540B815" w14:textId="75021755"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195</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6EE2BCDE" w14:textId="08B0F38B"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Leasehold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0B74762E" w14:textId="7FB89C02"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Extra care supported living</w:t>
            </w:r>
          </w:p>
        </w:tc>
      </w:tr>
      <w:tr w:rsidR="005F07DF" w:rsidRPr="00826421" w14:paraId="1537969E"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F534B" w14:textId="6A66DF0A"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18</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4BFB1E77" w14:textId="53B84184"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Rochester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7BCC9A3C" w14:textId="0788CC30"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12 flats. Sizes studio, 1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7345FC49" w14:textId="1C04BFCB"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12</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5EEC6C89" w14:textId="3A95BC72"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2F0CB2E4" w14:textId="3A46617F"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Flats</w:t>
            </w:r>
          </w:p>
        </w:tc>
      </w:tr>
      <w:tr w:rsidR="005F07DF" w:rsidRPr="00826421" w14:paraId="62513368"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D8F09" w14:textId="7213D854"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19</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3935134D" w14:textId="3F47994E"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Ryan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4432524E" w14:textId="396D1656"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18 flats.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598C524D" w14:textId="558BDE6D"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18</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773E3740" w14:textId="6A9ECAF0"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Leasehold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28DA85F1" w14:textId="25D9BD52"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Flats</w:t>
            </w:r>
          </w:p>
        </w:tc>
      </w:tr>
      <w:tr w:rsidR="005F07DF" w:rsidRPr="00826421" w14:paraId="2A70E6C7"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ABB3A" w14:textId="137C3009"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20</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686D9495" w14:textId="0FEFFFC5"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Sedgefield Close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4EEA035A" w14:textId="30E3FA12"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74 flats, bungalows.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028F6AC4" w14:textId="5CD88A35"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74</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52FF973A" w14:textId="5304DDA5"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 xml:space="preserve">Rent (social landlord) </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3259647D" w14:textId="6A772B8B"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Flats, bungalows</w:t>
            </w:r>
          </w:p>
        </w:tc>
      </w:tr>
      <w:tr w:rsidR="005F07DF" w:rsidRPr="00826421" w14:paraId="7A763D9E"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2EBF" w14:textId="0D3B726A"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21</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4F3A1CDE" w14:textId="5538BEAB"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Swannery Court</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0372556E" w14:textId="008FACBE"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69 flats.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54441C33" w14:textId="22E0F7BA" w:rsidR="005F07DF" w:rsidRDefault="005F07DF"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69</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53FAB60E" w14:textId="01E05BAD" w:rsidR="005F07DF"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Leasehold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542715A5" w14:textId="1EF80BD8" w:rsidR="005F07DF"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Sheltered housing</w:t>
            </w:r>
          </w:p>
        </w:tc>
      </w:tr>
      <w:tr w:rsidR="00413A5A" w:rsidRPr="00826421" w14:paraId="518B9DE7"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487B2" w14:textId="7288E0C6"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22</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73167B06" w14:textId="127006A7"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The Anchorage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407A7A55" w14:textId="1177936D"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33 flats. Sizes 1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35B3F11C" w14:textId="2569F94D"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33</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53359E08" w14:textId="6BB1A630"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Leasehold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4AFC7119" w14:textId="49597F60"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Sheltered housing</w:t>
            </w:r>
          </w:p>
        </w:tc>
      </w:tr>
      <w:tr w:rsidR="00413A5A" w:rsidRPr="00826421" w14:paraId="7F4D1C01" w14:textId="77777777" w:rsidTr="00F92BEE">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864BC" w14:textId="3AF2DE91"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23</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223D4588" w14:textId="2706E01C"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Westhaven House</w:t>
            </w:r>
          </w:p>
        </w:tc>
        <w:tc>
          <w:tcPr>
            <w:tcW w:w="1450" w:type="pct"/>
            <w:tcBorders>
              <w:top w:val="single" w:sz="4" w:space="0" w:color="auto"/>
              <w:left w:val="nil"/>
              <w:bottom w:val="single" w:sz="4" w:space="0" w:color="auto"/>
              <w:right w:val="single" w:sz="4" w:space="0" w:color="auto"/>
            </w:tcBorders>
            <w:shd w:val="clear" w:color="auto" w:fill="auto"/>
            <w:noWrap/>
            <w:vAlign w:val="center"/>
          </w:tcPr>
          <w:p w14:paraId="23A145F4" w14:textId="2D983ABE"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54 flats. Sizes 1 bedroom, 2 bedroom.</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7D05696B" w14:textId="1172635A"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54</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53AA2E86" w14:textId="39C54006"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Rent (social landlord)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42C79FE0" w14:textId="7C94961A" w:rsidR="00413A5A" w:rsidRDefault="00413A5A" w:rsidP="00F92BEE">
            <w:pPr>
              <w:spacing w:before="0" w:after="0" w:line="240" w:lineRule="auto"/>
              <w:rPr>
                <w:rFonts w:asciiTheme="minorHAnsi" w:hAnsiTheme="minorHAnsi" w:cstheme="minorHAnsi"/>
                <w:sz w:val="18"/>
                <w:szCs w:val="18"/>
              </w:rPr>
            </w:pPr>
            <w:r>
              <w:rPr>
                <w:rFonts w:asciiTheme="minorHAnsi" w:hAnsiTheme="minorHAnsi" w:cstheme="minorHAnsi"/>
                <w:sz w:val="18"/>
                <w:szCs w:val="18"/>
              </w:rPr>
              <w:t>Extra care supported living.</w:t>
            </w:r>
          </w:p>
        </w:tc>
      </w:tr>
    </w:tbl>
    <w:p w14:paraId="6737B8EA" w14:textId="57742A57" w:rsidR="00826421" w:rsidRPr="00826421" w:rsidRDefault="00826421" w:rsidP="00832DE0">
      <w:pPr>
        <w:tabs>
          <w:tab w:val="left" w:pos="284"/>
          <w:tab w:val="left" w:pos="5760"/>
        </w:tabs>
        <w:spacing w:before="0" w:after="120" w:line="240" w:lineRule="atLeast"/>
        <w:ind w:left="425"/>
        <w:jc w:val="both"/>
        <w:rPr>
          <w:rFonts w:asciiTheme="minorHAnsi" w:eastAsiaTheme="minorHAnsi" w:hAnsiTheme="minorHAnsi" w:cstheme="minorBidi"/>
          <w:i/>
          <w:color w:val="auto"/>
          <w:kern w:val="18"/>
          <w:sz w:val="18"/>
          <w:szCs w:val="18"/>
          <w:lang w:val="en-US" w:eastAsia="en-US"/>
        </w:rPr>
      </w:pPr>
      <w:r w:rsidRPr="00826421">
        <w:rPr>
          <w:rFonts w:asciiTheme="minorHAnsi" w:eastAsiaTheme="minorHAnsi" w:hAnsiTheme="minorHAnsi" w:cstheme="minorBidi"/>
          <w:i/>
          <w:color w:val="auto"/>
          <w:kern w:val="18"/>
          <w:sz w:val="18"/>
          <w:szCs w:val="18"/>
          <w:lang w:val="en-US" w:eastAsia="en-US"/>
        </w:rPr>
        <w:t xml:space="preserve">Source: </w:t>
      </w:r>
      <w:hyperlink r:id="rId23" w:history="1">
        <w:r w:rsidR="008655D4" w:rsidRPr="0083164C">
          <w:rPr>
            <w:rStyle w:val="Hyperlink"/>
            <w:rFonts w:asciiTheme="minorHAnsi" w:eastAsiaTheme="minorHAnsi" w:hAnsiTheme="minorHAnsi" w:cstheme="minorBidi"/>
            <w:i/>
            <w:kern w:val="18"/>
            <w:sz w:val="18"/>
            <w:szCs w:val="18"/>
            <w:lang w:val="en-US" w:eastAsia="en-US"/>
          </w:rPr>
          <w:t>http://www.housingcare.org</w:t>
        </w:r>
      </w:hyperlink>
      <w:r w:rsidR="008655D4">
        <w:rPr>
          <w:rFonts w:asciiTheme="minorHAnsi" w:eastAsiaTheme="minorHAnsi" w:hAnsiTheme="minorHAnsi" w:cstheme="minorBidi"/>
          <w:i/>
          <w:color w:val="auto"/>
          <w:kern w:val="18"/>
          <w:sz w:val="18"/>
          <w:szCs w:val="18"/>
          <w:lang w:val="en-US" w:eastAsia="en-US"/>
        </w:rPr>
        <w:t xml:space="preserve"> </w:t>
      </w:r>
      <w:r w:rsidR="00413A5A">
        <w:rPr>
          <w:rFonts w:asciiTheme="minorHAnsi" w:eastAsiaTheme="minorHAnsi" w:hAnsiTheme="minorHAnsi" w:cstheme="minorBidi"/>
          <w:i/>
          <w:color w:val="auto"/>
          <w:kern w:val="18"/>
          <w:sz w:val="18"/>
          <w:szCs w:val="18"/>
          <w:lang w:val="en-US" w:eastAsia="en-US"/>
        </w:rPr>
        <w:tab/>
      </w:r>
    </w:p>
    <w:p w14:paraId="5FBDC984" w14:textId="77777777" w:rsidR="00826421" w:rsidRPr="00826421" w:rsidRDefault="00826421" w:rsidP="008C5248">
      <w:pPr>
        <w:pStyle w:val="Heading3"/>
      </w:pPr>
      <w:bookmarkStart w:id="195" w:name="_Toc1491477"/>
      <w:bookmarkStart w:id="196" w:name="_Toc13235059"/>
      <w:bookmarkStart w:id="197" w:name="_Toc64026823"/>
      <w:r w:rsidRPr="00826421">
        <w:t>Tenure-led projections</w:t>
      </w:r>
      <w:bookmarkEnd w:id="195"/>
      <w:bookmarkEnd w:id="196"/>
      <w:bookmarkEnd w:id="197"/>
    </w:p>
    <w:p w14:paraId="0EE8A4FF" w14:textId="2476F811" w:rsidR="00826421" w:rsidRPr="00826421" w:rsidRDefault="00826421" w:rsidP="00826421">
      <w:pPr>
        <w:numPr>
          <w:ilvl w:val="0"/>
          <w:numId w:val="15"/>
        </w:numPr>
        <w:spacing w:before="0" w:after="120"/>
        <w:jc w:val="both"/>
        <w:rPr>
          <w:rFonts w:eastAsia="SimSun"/>
          <w:sz w:val="18"/>
          <w:szCs w:val="18"/>
          <w:lang w:val="en-US"/>
        </w:rPr>
      </w:pPr>
      <w:r w:rsidRPr="00826421">
        <w:rPr>
          <w:rFonts w:eastAsia="SimSun"/>
          <w:sz w:val="18"/>
          <w:szCs w:val="18"/>
          <w:lang w:val="en-US"/>
        </w:rPr>
        <w:t xml:space="preserve">Turning to determining future need for specialist housing, the first step is to review data on the tenure of households aged 55-75 across </w:t>
      </w:r>
      <w:r w:rsidR="00324946">
        <w:rPr>
          <w:rFonts w:eastAsia="SimSun"/>
          <w:sz w:val="18"/>
          <w:szCs w:val="18"/>
          <w:lang w:val="en-US"/>
        </w:rPr>
        <w:t>Weymouth and Portland</w:t>
      </w:r>
      <w:r w:rsidRPr="00826421">
        <w:rPr>
          <w:rFonts w:eastAsia="SimSun"/>
          <w:sz w:val="18"/>
          <w:szCs w:val="18"/>
          <w:lang w:val="en-US"/>
        </w:rPr>
        <w:t xml:space="preserve">, as this is the smallest geography for which tenure by age bracket data is available. </w:t>
      </w:r>
      <w:r w:rsidR="00460D15">
        <w:rPr>
          <w:rFonts w:eastAsia="SimSun"/>
          <w:sz w:val="18"/>
          <w:szCs w:val="18"/>
          <w:lang w:val="en-US"/>
        </w:rPr>
        <w:t xml:space="preserve">The </w:t>
      </w:r>
      <w:r w:rsidRPr="00826421">
        <w:rPr>
          <w:rFonts w:eastAsia="SimSun"/>
          <w:sz w:val="18"/>
          <w:szCs w:val="18"/>
          <w:lang w:val="en-US"/>
        </w:rPr>
        <w:t xml:space="preserve">age cohort-based approach </w:t>
      </w:r>
      <w:r w:rsidR="00460D15">
        <w:rPr>
          <w:rFonts w:eastAsia="SimSun"/>
          <w:sz w:val="18"/>
          <w:szCs w:val="18"/>
          <w:lang w:val="en-US"/>
        </w:rPr>
        <w:t>is taken because</w:t>
      </w:r>
      <w:r w:rsidR="00460D15" w:rsidRPr="00826421">
        <w:rPr>
          <w:rFonts w:eastAsia="SimSun"/>
          <w:sz w:val="18"/>
          <w:szCs w:val="18"/>
          <w:lang w:val="en-US"/>
        </w:rPr>
        <w:t xml:space="preserve"> </w:t>
      </w:r>
      <w:r w:rsidRPr="00826421">
        <w:rPr>
          <w:rFonts w:eastAsia="SimSun"/>
          <w:sz w:val="18"/>
          <w:szCs w:val="18"/>
          <w:lang w:val="en-US"/>
        </w:rPr>
        <w:t xml:space="preserve">it is these households which, over the next 20 years, will be reaching the age of 75+, </w:t>
      </w:r>
      <w:r w:rsidR="00460D15">
        <w:rPr>
          <w:rFonts w:eastAsia="SimSun"/>
          <w:sz w:val="18"/>
          <w:szCs w:val="18"/>
          <w:lang w:val="en-US"/>
        </w:rPr>
        <w:t xml:space="preserve">where the need </w:t>
      </w:r>
      <w:r w:rsidRPr="00826421">
        <w:rPr>
          <w:rFonts w:eastAsia="SimSun"/>
          <w:sz w:val="18"/>
          <w:szCs w:val="18"/>
          <w:lang w:val="en-US"/>
        </w:rPr>
        <w:t>for specialist housing provision</w:t>
      </w:r>
      <w:r w:rsidR="00460D15">
        <w:rPr>
          <w:rFonts w:eastAsia="SimSun"/>
          <w:sz w:val="18"/>
          <w:szCs w:val="18"/>
          <w:lang w:val="en-US"/>
        </w:rPr>
        <w:t xml:space="preserve"> is more likely</w:t>
      </w:r>
      <w:r w:rsidRPr="00826421">
        <w:rPr>
          <w:rFonts w:eastAsia="SimSun"/>
          <w:sz w:val="18"/>
          <w:szCs w:val="18"/>
          <w:lang w:val="en-US"/>
        </w:rPr>
        <w:t xml:space="preserve">. </w:t>
      </w:r>
      <w:r w:rsidR="00460D15">
        <w:rPr>
          <w:rFonts w:eastAsia="SimSun"/>
          <w:sz w:val="18"/>
          <w:szCs w:val="18"/>
          <w:lang w:val="en-US"/>
        </w:rPr>
        <w:t>T</w:t>
      </w:r>
      <w:r w:rsidRPr="00826421">
        <w:rPr>
          <w:rFonts w:eastAsia="SimSun"/>
          <w:sz w:val="18"/>
          <w:szCs w:val="18"/>
          <w:lang w:val="en-US"/>
        </w:rPr>
        <w:t xml:space="preserve">he existing tenure split within this cohort </w:t>
      </w:r>
      <w:r w:rsidR="00460D15">
        <w:rPr>
          <w:rFonts w:eastAsia="SimSun"/>
          <w:sz w:val="18"/>
          <w:szCs w:val="18"/>
          <w:lang w:val="en-US"/>
        </w:rPr>
        <w:t xml:space="preserve">is used </w:t>
      </w:r>
      <w:r w:rsidRPr="00826421">
        <w:rPr>
          <w:rFonts w:eastAsia="SimSun"/>
          <w:sz w:val="18"/>
          <w:szCs w:val="18"/>
          <w:lang w:val="en-US"/>
        </w:rPr>
        <w:t xml:space="preserve">to project forward the need for specialist housing according to different tenure. </w:t>
      </w:r>
    </w:p>
    <w:p w14:paraId="0E0E8E86" w14:textId="03177BFF" w:rsidR="00826421" w:rsidRPr="00826421" w:rsidRDefault="00826421" w:rsidP="00826421">
      <w:pPr>
        <w:numPr>
          <w:ilvl w:val="0"/>
          <w:numId w:val="15"/>
        </w:numPr>
        <w:spacing w:before="0" w:after="120"/>
        <w:jc w:val="both"/>
        <w:rPr>
          <w:rFonts w:eastAsia="SimSun"/>
          <w:sz w:val="18"/>
          <w:szCs w:val="18"/>
          <w:lang w:val="en-US"/>
        </w:rPr>
      </w:pPr>
      <w:r w:rsidRPr="00826421">
        <w:rPr>
          <w:rFonts w:eastAsia="SimSun"/>
          <w:sz w:val="18"/>
          <w:szCs w:val="18"/>
          <w:lang w:val="en-US"/>
        </w:rPr>
        <w:t xml:space="preserve">The projection is based on the premise that those currently occupying their own home will also wish to </w:t>
      </w:r>
      <w:r w:rsidR="00857FA6">
        <w:rPr>
          <w:rFonts w:eastAsia="SimSun"/>
          <w:sz w:val="18"/>
          <w:szCs w:val="18"/>
          <w:lang w:val="en-US"/>
        </w:rPr>
        <w:t>remain owner occupiers</w:t>
      </w:r>
      <w:r w:rsidRPr="00826421">
        <w:rPr>
          <w:rFonts w:eastAsia="SimSun"/>
          <w:sz w:val="18"/>
          <w:szCs w:val="18"/>
          <w:lang w:val="en-US"/>
        </w:rPr>
        <w:t xml:space="preserve"> for as long as practicably possible in future, even where downsizing or moving into specialist accommodation. Equally, those who currently rent, either in the private or social sectors, are projected to need affordable rented accommodation of some kind.</w:t>
      </w:r>
    </w:p>
    <w:p w14:paraId="5F7E73E2" w14:textId="74557334" w:rsidR="00826421" w:rsidRPr="00826421" w:rsidRDefault="00826421" w:rsidP="00826421">
      <w:pPr>
        <w:numPr>
          <w:ilvl w:val="0"/>
          <w:numId w:val="15"/>
        </w:numPr>
        <w:spacing w:before="0" w:after="120"/>
        <w:jc w:val="both"/>
        <w:rPr>
          <w:rFonts w:eastAsia="SimSun"/>
          <w:sz w:val="18"/>
          <w:szCs w:val="18"/>
          <w:lang w:val="en-US"/>
        </w:rPr>
      </w:pPr>
      <w:r w:rsidRPr="00826421">
        <w:rPr>
          <w:rFonts w:eastAsia="SimSun"/>
          <w:sz w:val="18"/>
          <w:szCs w:val="18"/>
          <w:lang w:val="en-US"/>
        </w:rPr>
        <w:t xml:space="preserve">According to </w:t>
      </w:r>
      <w:r w:rsidRPr="00826421">
        <w:rPr>
          <w:rFonts w:eastAsia="SimSun"/>
          <w:sz w:val="18"/>
          <w:szCs w:val="18"/>
          <w:lang w:val="en-US"/>
        </w:rPr>
        <w:fldChar w:fldCharType="begin"/>
      </w:r>
      <w:r w:rsidRPr="00826421">
        <w:rPr>
          <w:rFonts w:eastAsia="SimSun"/>
          <w:sz w:val="18"/>
          <w:szCs w:val="18"/>
          <w:lang w:val="en-US"/>
        </w:rPr>
        <w:instrText xml:space="preserve"> REF _Ref7875803 \h  \* MERGEFORMAT </w:instrText>
      </w:r>
      <w:r w:rsidRPr="00826421">
        <w:rPr>
          <w:rFonts w:eastAsia="SimSun"/>
          <w:sz w:val="18"/>
          <w:szCs w:val="18"/>
          <w:lang w:val="en-US"/>
        </w:rPr>
      </w:r>
      <w:r w:rsidRPr="00826421">
        <w:rPr>
          <w:rFonts w:eastAsia="SimSun"/>
          <w:sz w:val="18"/>
          <w:szCs w:val="18"/>
          <w:lang w:val="en-US"/>
        </w:rPr>
        <w:fldChar w:fldCharType="separate"/>
      </w:r>
      <w:r w:rsidR="00603781" w:rsidRPr="00603781">
        <w:rPr>
          <w:sz w:val="18"/>
          <w:szCs w:val="18"/>
          <w:lang w:val="en-US"/>
        </w:rPr>
        <w:t xml:space="preserve">Table </w:t>
      </w:r>
      <w:r w:rsidR="00603781" w:rsidRPr="00603781">
        <w:rPr>
          <w:noProof/>
          <w:sz w:val="18"/>
          <w:szCs w:val="18"/>
          <w:lang w:val="en-US"/>
        </w:rPr>
        <w:t>6</w:t>
      </w:r>
      <w:r w:rsidR="00603781" w:rsidRPr="00603781">
        <w:rPr>
          <w:noProof/>
          <w:sz w:val="18"/>
          <w:szCs w:val="18"/>
          <w:lang w:val="en-US"/>
        </w:rPr>
        <w:noBreakHyphen/>
        <w:t>2</w:t>
      </w:r>
      <w:r w:rsidRPr="00826421">
        <w:rPr>
          <w:rFonts w:eastAsia="SimSun"/>
          <w:sz w:val="18"/>
          <w:szCs w:val="18"/>
          <w:lang w:val="en-US"/>
        </w:rPr>
        <w:fldChar w:fldCharType="end"/>
      </w:r>
      <w:r w:rsidRPr="00826421">
        <w:rPr>
          <w:rFonts w:eastAsia="SimSun"/>
          <w:sz w:val="18"/>
          <w:szCs w:val="18"/>
          <w:lang w:val="en-US"/>
        </w:rPr>
        <w:t xml:space="preserve"> below, </w:t>
      </w:r>
      <w:r w:rsidR="00957FE6">
        <w:rPr>
          <w:rFonts w:eastAsia="SimSun"/>
          <w:sz w:val="18"/>
          <w:szCs w:val="18"/>
          <w:lang w:val="en-US"/>
        </w:rPr>
        <w:t xml:space="preserve">the tenure of households in </w:t>
      </w:r>
      <w:r w:rsidR="00324946">
        <w:rPr>
          <w:rFonts w:eastAsia="SimSun"/>
          <w:sz w:val="18"/>
          <w:szCs w:val="18"/>
          <w:lang w:val="en-US"/>
        </w:rPr>
        <w:t>Weymouth and Portland</w:t>
      </w:r>
      <w:r w:rsidR="00957FE6">
        <w:rPr>
          <w:rFonts w:eastAsia="SimSun"/>
          <w:sz w:val="18"/>
          <w:szCs w:val="18"/>
          <w:lang w:val="en-US"/>
        </w:rPr>
        <w:t xml:space="preserve"> aged 55-75 shows a higher proportion of owner occupied than the general population, at 84.4% compared to 72%</w:t>
      </w:r>
      <w:r w:rsidR="00857FA6">
        <w:rPr>
          <w:rFonts w:eastAsia="SimSun"/>
          <w:sz w:val="18"/>
          <w:szCs w:val="18"/>
          <w:lang w:val="en-US"/>
        </w:rPr>
        <w:t xml:space="preserve"> nationally</w:t>
      </w:r>
      <w:r w:rsidR="00957FE6">
        <w:rPr>
          <w:rFonts w:eastAsia="SimSun"/>
          <w:sz w:val="18"/>
          <w:szCs w:val="18"/>
          <w:lang w:val="en-US"/>
        </w:rPr>
        <w:t xml:space="preserve">, as would be expected. The proportion social renting </w:t>
      </w:r>
      <w:r w:rsidR="00857FA6">
        <w:rPr>
          <w:rFonts w:eastAsia="SimSun"/>
          <w:sz w:val="18"/>
          <w:szCs w:val="18"/>
          <w:lang w:val="en-US"/>
        </w:rPr>
        <w:t xml:space="preserve">in this age group </w:t>
      </w:r>
      <w:r w:rsidR="00957FE6">
        <w:rPr>
          <w:rFonts w:eastAsia="SimSun"/>
          <w:sz w:val="18"/>
          <w:szCs w:val="18"/>
          <w:lang w:val="en-US"/>
        </w:rPr>
        <w:t xml:space="preserve">remains considerable at 11.8%, whereas the proportion private renting at 3.6% is much lower than </w:t>
      </w:r>
      <w:r w:rsidR="00857FA6">
        <w:rPr>
          <w:rFonts w:eastAsia="SimSun"/>
          <w:sz w:val="18"/>
          <w:szCs w:val="18"/>
          <w:lang w:val="en-US"/>
        </w:rPr>
        <w:t xml:space="preserve">for </w:t>
      </w:r>
      <w:r w:rsidR="00957FE6">
        <w:rPr>
          <w:rFonts w:eastAsia="SimSun"/>
          <w:sz w:val="18"/>
          <w:szCs w:val="18"/>
          <w:lang w:val="en-US"/>
        </w:rPr>
        <w:t>the general population. This suggests that households in the 55-75 age bracket</w:t>
      </w:r>
      <w:r w:rsidR="00857FA6">
        <w:rPr>
          <w:rFonts w:eastAsia="SimSun"/>
          <w:sz w:val="18"/>
          <w:szCs w:val="18"/>
          <w:lang w:val="en-US"/>
        </w:rPr>
        <w:t xml:space="preserve"> in Weymouth</w:t>
      </w:r>
      <w:r w:rsidR="00957FE6">
        <w:rPr>
          <w:rFonts w:eastAsia="SimSun"/>
          <w:sz w:val="18"/>
          <w:szCs w:val="18"/>
          <w:lang w:val="en-US"/>
        </w:rPr>
        <w:t xml:space="preserve"> are more likely to own their homes, as likely to social rent, and less likely to private rent than the average household</w:t>
      </w:r>
      <w:r w:rsidR="00857FA6">
        <w:rPr>
          <w:rFonts w:eastAsia="SimSun"/>
          <w:sz w:val="18"/>
          <w:szCs w:val="18"/>
          <w:lang w:val="en-US"/>
        </w:rPr>
        <w:t xml:space="preserve"> across the country</w:t>
      </w:r>
      <w:r w:rsidR="00957FE6">
        <w:rPr>
          <w:rFonts w:eastAsia="SimSun"/>
          <w:sz w:val="18"/>
          <w:szCs w:val="18"/>
          <w:lang w:val="en-US"/>
        </w:rPr>
        <w:t>.</w:t>
      </w:r>
    </w:p>
    <w:p w14:paraId="113090B4" w14:textId="0D318D4D" w:rsidR="00826421" w:rsidRPr="00826421" w:rsidRDefault="00826421" w:rsidP="00826421">
      <w:pPr>
        <w:keepNext/>
        <w:spacing w:after="120"/>
        <w:ind w:left="425"/>
        <w:jc w:val="both"/>
        <w:rPr>
          <w:rFonts w:asciiTheme="majorHAnsi" w:hAnsiTheme="majorHAnsi"/>
          <w:b/>
          <w:bCs/>
          <w:color w:val="00B5E2" w:themeColor="accent1"/>
          <w:sz w:val="18"/>
          <w:szCs w:val="18"/>
        </w:rPr>
      </w:pPr>
      <w:bookmarkStart w:id="198" w:name="_Ref7875803"/>
      <w:r w:rsidRPr="00826421">
        <w:rPr>
          <w:rFonts w:asciiTheme="majorHAnsi" w:hAnsiTheme="majorHAnsi"/>
          <w:b/>
          <w:bCs/>
          <w:color w:val="00B5E2" w:themeColor="accent1"/>
          <w:sz w:val="18"/>
          <w:szCs w:val="18"/>
        </w:rPr>
        <w:t xml:space="preserve">Table </w:t>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STYLEREF 1 \s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6</w:t>
      </w:r>
      <w:r w:rsidR="00BA4C32">
        <w:rPr>
          <w:rFonts w:asciiTheme="majorHAnsi" w:hAnsiTheme="majorHAnsi"/>
          <w:b/>
          <w:bCs/>
          <w:color w:val="00B5E2" w:themeColor="accent1"/>
          <w:sz w:val="18"/>
          <w:szCs w:val="18"/>
        </w:rPr>
        <w:fldChar w:fldCharType="end"/>
      </w:r>
      <w:r w:rsidR="00BA4C32">
        <w:rPr>
          <w:rFonts w:asciiTheme="majorHAnsi" w:hAnsiTheme="majorHAnsi"/>
          <w:b/>
          <w:bCs/>
          <w:color w:val="00B5E2" w:themeColor="accent1"/>
          <w:sz w:val="18"/>
          <w:szCs w:val="18"/>
        </w:rPr>
        <w:noBreakHyphen/>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SEQ Table \* ARABIC \s 1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2</w:t>
      </w:r>
      <w:r w:rsidR="00BA4C32">
        <w:rPr>
          <w:rFonts w:asciiTheme="majorHAnsi" w:hAnsiTheme="majorHAnsi"/>
          <w:b/>
          <w:bCs/>
          <w:color w:val="00B5E2" w:themeColor="accent1"/>
          <w:sz w:val="18"/>
          <w:szCs w:val="18"/>
        </w:rPr>
        <w:fldChar w:fldCharType="end"/>
      </w:r>
      <w:bookmarkEnd w:id="198"/>
      <w:r w:rsidRPr="00826421">
        <w:rPr>
          <w:rFonts w:asciiTheme="majorHAnsi" w:hAnsiTheme="majorHAnsi"/>
          <w:b/>
          <w:bCs/>
          <w:color w:val="00B5E2" w:themeColor="accent1"/>
          <w:sz w:val="18"/>
          <w:szCs w:val="18"/>
        </w:rPr>
        <w:t xml:space="preserve">: Tenure of households aged 55-75 in </w:t>
      </w:r>
      <w:r w:rsidR="00324946">
        <w:rPr>
          <w:rFonts w:asciiTheme="majorHAnsi" w:hAnsiTheme="majorHAnsi"/>
          <w:b/>
          <w:bCs/>
          <w:color w:val="00B5E2" w:themeColor="accent1"/>
          <w:sz w:val="18"/>
          <w:szCs w:val="18"/>
        </w:rPr>
        <w:t>Weymouth and Portland</w:t>
      </w:r>
      <w:r w:rsidRPr="00826421">
        <w:rPr>
          <w:rFonts w:asciiTheme="majorHAnsi" w:hAnsiTheme="majorHAnsi"/>
          <w:b/>
          <w:bCs/>
          <w:color w:val="00B5E2" w:themeColor="accent1"/>
          <w:sz w:val="18"/>
          <w:szCs w:val="18"/>
        </w:rPr>
        <w:t>, 2011</w:t>
      </w:r>
    </w:p>
    <w:tbl>
      <w:tblPr>
        <w:tblW w:w="4769" w:type="pct"/>
        <w:tblInd w:w="416" w:type="dxa"/>
        <w:tblLook w:val="04A0" w:firstRow="1" w:lastRow="0" w:firstColumn="1" w:lastColumn="0" w:noHBand="0" w:noVBand="1"/>
      </w:tblPr>
      <w:tblGrid>
        <w:gridCol w:w="1336"/>
        <w:gridCol w:w="1336"/>
        <w:gridCol w:w="1339"/>
        <w:gridCol w:w="1337"/>
        <w:gridCol w:w="1339"/>
        <w:gridCol w:w="1337"/>
        <w:gridCol w:w="1337"/>
      </w:tblGrid>
      <w:tr w:rsidR="00826421" w:rsidRPr="00826421" w14:paraId="076FB014" w14:textId="77777777" w:rsidTr="006F668D">
        <w:trPr>
          <w:trHeight w:val="804"/>
        </w:trPr>
        <w:tc>
          <w:tcPr>
            <w:tcW w:w="714" w:type="pct"/>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0F2BF693" w14:textId="77777777" w:rsidR="00826421" w:rsidRPr="00826421" w:rsidRDefault="00826421" w:rsidP="00826421">
            <w:pPr>
              <w:spacing w:line="240" w:lineRule="auto"/>
              <w:jc w:val="both"/>
              <w:rPr>
                <w:b/>
                <w:bCs/>
                <w:color w:val="FFFFFF" w:themeColor="background1"/>
                <w:sz w:val="18"/>
                <w:szCs w:val="18"/>
              </w:rPr>
            </w:pPr>
            <w:r w:rsidRPr="00826421">
              <w:rPr>
                <w:b/>
                <w:bCs/>
                <w:color w:val="FFFFFF" w:themeColor="background1"/>
                <w:sz w:val="18"/>
                <w:szCs w:val="18"/>
              </w:rPr>
              <w:t>All owned</w:t>
            </w:r>
          </w:p>
        </w:tc>
        <w:tc>
          <w:tcPr>
            <w:tcW w:w="714" w:type="pct"/>
            <w:tcBorders>
              <w:top w:val="single" w:sz="8" w:space="0" w:color="auto"/>
              <w:left w:val="nil"/>
              <w:bottom w:val="single" w:sz="8" w:space="0" w:color="auto"/>
              <w:right w:val="single" w:sz="8" w:space="0" w:color="auto"/>
            </w:tcBorders>
            <w:shd w:val="clear" w:color="auto" w:fill="000000" w:themeFill="text1"/>
            <w:vAlign w:val="center"/>
            <w:hideMark/>
          </w:tcPr>
          <w:p w14:paraId="249F2D30" w14:textId="77777777" w:rsidR="00826421" w:rsidRPr="00826421" w:rsidRDefault="00826421" w:rsidP="00826421">
            <w:pPr>
              <w:spacing w:line="240" w:lineRule="auto"/>
              <w:jc w:val="both"/>
              <w:rPr>
                <w:b/>
                <w:bCs/>
                <w:color w:val="FFFFFF" w:themeColor="background1"/>
                <w:sz w:val="18"/>
                <w:szCs w:val="18"/>
              </w:rPr>
            </w:pPr>
            <w:r w:rsidRPr="00826421">
              <w:rPr>
                <w:b/>
                <w:bCs/>
                <w:color w:val="FFFFFF" w:themeColor="background1"/>
                <w:sz w:val="18"/>
                <w:szCs w:val="18"/>
              </w:rPr>
              <w:t>Owned outright</w:t>
            </w:r>
          </w:p>
        </w:tc>
        <w:tc>
          <w:tcPr>
            <w:tcW w:w="715" w:type="pct"/>
            <w:tcBorders>
              <w:top w:val="single" w:sz="8" w:space="0" w:color="auto"/>
              <w:left w:val="nil"/>
              <w:bottom w:val="single" w:sz="8" w:space="0" w:color="auto"/>
              <w:right w:val="single" w:sz="8" w:space="0" w:color="auto"/>
            </w:tcBorders>
            <w:shd w:val="clear" w:color="auto" w:fill="000000" w:themeFill="text1"/>
            <w:vAlign w:val="center"/>
            <w:hideMark/>
          </w:tcPr>
          <w:p w14:paraId="09953E5E" w14:textId="77777777" w:rsidR="00826421" w:rsidRPr="00826421" w:rsidRDefault="00826421" w:rsidP="00832DE0">
            <w:pPr>
              <w:spacing w:line="240" w:lineRule="auto"/>
              <w:rPr>
                <w:b/>
                <w:bCs/>
                <w:color w:val="FFFFFF" w:themeColor="background1"/>
                <w:sz w:val="18"/>
                <w:szCs w:val="18"/>
              </w:rPr>
            </w:pPr>
            <w:r w:rsidRPr="00826421">
              <w:rPr>
                <w:b/>
                <w:bCs/>
                <w:color w:val="FFFFFF" w:themeColor="background1"/>
                <w:sz w:val="18"/>
                <w:szCs w:val="18"/>
              </w:rPr>
              <w:t>Owned with a mortgage or loan or Shared Ownership</w:t>
            </w:r>
          </w:p>
        </w:tc>
        <w:tc>
          <w:tcPr>
            <w:tcW w:w="714" w:type="pct"/>
            <w:tcBorders>
              <w:top w:val="single" w:sz="8" w:space="0" w:color="auto"/>
              <w:left w:val="nil"/>
              <w:bottom w:val="single" w:sz="8" w:space="0" w:color="auto"/>
              <w:right w:val="single" w:sz="8" w:space="0" w:color="auto"/>
            </w:tcBorders>
            <w:shd w:val="clear" w:color="auto" w:fill="000000" w:themeFill="text1"/>
            <w:vAlign w:val="center"/>
            <w:hideMark/>
          </w:tcPr>
          <w:p w14:paraId="3D864AE7" w14:textId="77777777" w:rsidR="00826421" w:rsidRPr="00826421" w:rsidRDefault="00826421" w:rsidP="00826421">
            <w:pPr>
              <w:spacing w:line="240" w:lineRule="auto"/>
              <w:jc w:val="both"/>
              <w:rPr>
                <w:b/>
                <w:bCs/>
                <w:color w:val="FFFFFF" w:themeColor="background1"/>
                <w:sz w:val="18"/>
                <w:szCs w:val="18"/>
              </w:rPr>
            </w:pPr>
            <w:r w:rsidRPr="00826421">
              <w:rPr>
                <w:b/>
                <w:bCs/>
                <w:color w:val="FFFFFF" w:themeColor="background1"/>
                <w:sz w:val="18"/>
                <w:szCs w:val="18"/>
              </w:rPr>
              <w:t>All Rented</w:t>
            </w:r>
          </w:p>
        </w:tc>
        <w:tc>
          <w:tcPr>
            <w:tcW w:w="715" w:type="pct"/>
            <w:tcBorders>
              <w:top w:val="single" w:sz="8" w:space="0" w:color="auto"/>
              <w:left w:val="nil"/>
              <w:bottom w:val="single" w:sz="8" w:space="0" w:color="auto"/>
              <w:right w:val="single" w:sz="8" w:space="0" w:color="auto"/>
            </w:tcBorders>
            <w:shd w:val="clear" w:color="auto" w:fill="000000" w:themeFill="text1"/>
            <w:vAlign w:val="center"/>
            <w:hideMark/>
          </w:tcPr>
          <w:p w14:paraId="63F466F1" w14:textId="77777777" w:rsidR="00826421" w:rsidRPr="00826421" w:rsidRDefault="00826421" w:rsidP="00826421">
            <w:pPr>
              <w:spacing w:line="240" w:lineRule="auto"/>
              <w:jc w:val="both"/>
              <w:rPr>
                <w:b/>
                <w:bCs/>
                <w:color w:val="FFFFFF" w:themeColor="background1"/>
                <w:sz w:val="18"/>
                <w:szCs w:val="18"/>
              </w:rPr>
            </w:pPr>
            <w:r w:rsidRPr="00826421">
              <w:rPr>
                <w:b/>
                <w:bCs/>
                <w:color w:val="FFFFFF" w:themeColor="background1"/>
                <w:sz w:val="18"/>
                <w:szCs w:val="18"/>
              </w:rPr>
              <w:t>Social rented</w:t>
            </w:r>
          </w:p>
        </w:tc>
        <w:tc>
          <w:tcPr>
            <w:tcW w:w="714" w:type="pct"/>
            <w:tcBorders>
              <w:top w:val="single" w:sz="8" w:space="0" w:color="auto"/>
              <w:left w:val="nil"/>
              <w:bottom w:val="single" w:sz="8" w:space="0" w:color="auto"/>
              <w:right w:val="single" w:sz="8" w:space="0" w:color="auto"/>
            </w:tcBorders>
            <w:shd w:val="clear" w:color="auto" w:fill="000000" w:themeFill="text1"/>
            <w:vAlign w:val="center"/>
            <w:hideMark/>
          </w:tcPr>
          <w:p w14:paraId="321E2263" w14:textId="77777777" w:rsidR="00826421" w:rsidRPr="00826421" w:rsidRDefault="00826421" w:rsidP="00826421">
            <w:pPr>
              <w:spacing w:line="240" w:lineRule="auto"/>
              <w:jc w:val="both"/>
              <w:rPr>
                <w:b/>
                <w:bCs/>
                <w:color w:val="FFFFFF" w:themeColor="background1"/>
                <w:sz w:val="18"/>
                <w:szCs w:val="18"/>
              </w:rPr>
            </w:pPr>
            <w:r w:rsidRPr="00826421">
              <w:rPr>
                <w:b/>
                <w:bCs/>
                <w:color w:val="FFFFFF" w:themeColor="background1"/>
                <w:sz w:val="18"/>
                <w:szCs w:val="18"/>
              </w:rPr>
              <w:t>Private rented</w:t>
            </w:r>
          </w:p>
        </w:tc>
        <w:tc>
          <w:tcPr>
            <w:tcW w:w="714" w:type="pct"/>
            <w:tcBorders>
              <w:top w:val="single" w:sz="8" w:space="0" w:color="auto"/>
              <w:left w:val="nil"/>
              <w:bottom w:val="single" w:sz="8" w:space="0" w:color="auto"/>
              <w:right w:val="single" w:sz="8" w:space="0" w:color="auto"/>
            </w:tcBorders>
            <w:shd w:val="clear" w:color="auto" w:fill="000000" w:themeFill="text1"/>
            <w:vAlign w:val="center"/>
            <w:hideMark/>
          </w:tcPr>
          <w:p w14:paraId="491A0CF3" w14:textId="77777777" w:rsidR="00826421" w:rsidRPr="00826421" w:rsidRDefault="00826421" w:rsidP="00832DE0">
            <w:pPr>
              <w:spacing w:line="240" w:lineRule="auto"/>
              <w:rPr>
                <w:b/>
                <w:bCs/>
                <w:color w:val="FFFFFF" w:themeColor="background1"/>
                <w:sz w:val="18"/>
                <w:szCs w:val="18"/>
              </w:rPr>
            </w:pPr>
            <w:r w:rsidRPr="00826421">
              <w:rPr>
                <w:b/>
                <w:bCs/>
                <w:color w:val="FFFFFF" w:themeColor="background1"/>
                <w:sz w:val="18"/>
                <w:szCs w:val="18"/>
              </w:rPr>
              <w:t>Living rent free</w:t>
            </w:r>
          </w:p>
        </w:tc>
      </w:tr>
      <w:tr w:rsidR="00605D88" w:rsidRPr="00826421" w14:paraId="5F837286" w14:textId="77777777" w:rsidTr="00832DE0">
        <w:trPr>
          <w:trHeight w:val="264"/>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2B506" w14:textId="774232FB" w:rsidR="00605D88" w:rsidRPr="00605D88" w:rsidRDefault="00605D88" w:rsidP="00605D88">
            <w:pPr>
              <w:spacing w:line="240" w:lineRule="auto"/>
              <w:jc w:val="both"/>
              <w:rPr>
                <w:b/>
                <w:sz w:val="18"/>
                <w:szCs w:val="18"/>
              </w:rPr>
            </w:pPr>
            <w:r w:rsidRPr="00832DE0">
              <w:rPr>
                <w:b/>
                <w:bCs/>
                <w:sz w:val="18"/>
                <w:szCs w:val="18"/>
              </w:rPr>
              <w:t>84.4%</w:t>
            </w:r>
          </w:p>
        </w:tc>
        <w:tc>
          <w:tcPr>
            <w:tcW w:w="714" w:type="pct"/>
            <w:tcBorders>
              <w:top w:val="single" w:sz="4" w:space="0" w:color="auto"/>
              <w:left w:val="nil"/>
              <w:bottom w:val="single" w:sz="4" w:space="0" w:color="auto"/>
              <w:right w:val="single" w:sz="4" w:space="0" w:color="auto"/>
            </w:tcBorders>
            <w:shd w:val="clear" w:color="auto" w:fill="auto"/>
            <w:noWrap/>
            <w:vAlign w:val="center"/>
          </w:tcPr>
          <w:p w14:paraId="62A78523" w14:textId="460C059C" w:rsidR="00605D88" w:rsidRPr="00605D88" w:rsidRDefault="00605D88" w:rsidP="00605D88">
            <w:pPr>
              <w:spacing w:line="240" w:lineRule="auto"/>
              <w:jc w:val="both"/>
              <w:rPr>
                <w:sz w:val="18"/>
                <w:szCs w:val="18"/>
              </w:rPr>
            </w:pPr>
            <w:r w:rsidRPr="00832DE0">
              <w:rPr>
                <w:sz w:val="18"/>
                <w:szCs w:val="18"/>
              </w:rPr>
              <w:t>60.1%</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4FAB8760" w14:textId="6082B1C4" w:rsidR="00605D88" w:rsidRPr="00605D88" w:rsidRDefault="00605D88" w:rsidP="00605D88">
            <w:pPr>
              <w:spacing w:line="240" w:lineRule="auto"/>
              <w:jc w:val="both"/>
              <w:rPr>
                <w:sz w:val="18"/>
                <w:szCs w:val="18"/>
              </w:rPr>
            </w:pPr>
            <w:r w:rsidRPr="00832DE0">
              <w:rPr>
                <w:sz w:val="18"/>
                <w:szCs w:val="18"/>
              </w:rPr>
              <w:t>24.3%</w:t>
            </w:r>
          </w:p>
        </w:tc>
        <w:tc>
          <w:tcPr>
            <w:tcW w:w="714" w:type="pct"/>
            <w:tcBorders>
              <w:top w:val="single" w:sz="4" w:space="0" w:color="auto"/>
              <w:left w:val="nil"/>
              <w:bottom w:val="single" w:sz="4" w:space="0" w:color="auto"/>
              <w:right w:val="single" w:sz="4" w:space="0" w:color="auto"/>
            </w:tcBorders>
            <w:shd w:val="clear" w:color="auto" w:fill="auto"/>
            <w:noWrap/>
            <w:vAlign w:val="center"/>
          </w:tcPr>
          <w:p w14:paraId="02754ACA" w14:textId="0DBD6384" w:rsidR="00605D88" w:rsidRPr="00605D88" w:rsidRDefault="00605D88" w:rsidP="00605D88">
            <w:pPr>
              <w:spacing w:line="240" w:lineRule="auto"/>
              <w:jc w:val="both"/>
              <w:rPr>
                <w:b/>
                <w:sz w:val="18"/>
                <w:szCs w:val="18"/>
              </w:rPr>
            </w:pPr>
            <w:r w:rsidRPr="00832DE0">
              <w:rPr>
                <w:b/>
                <w:bCs/>
                <w:sz w:val="18"/>
                <w:szCs w:val="18"/>
              </w:rPr>
              <w:t>15.6%</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68C2E3D9" w14:textId="40F4DB33" w:rsidR="00605D88" w:rsidRPr="00605D88" w:rsidRDefault="00605D88" w:rsidP="00605D88">
            <w:pPr>
              <w:spacing w:line="240" w:lineRule="auto"/>
              <w:jc w:val="both"/>
              <w:rPr>
                <w:sz w:val="18"/>
                <w:szCs w:val="18"/>
              </w:rPr>
            </w:pPr>
            <w:r w:rsidRPr="00832DE0">
              <w:rPr>
                <w:sz w:val="18"/>
                <w:szCs w:val="18"/>
              </w:rPr>
              <w:t>11.8%</w:t>
            </w:r>
          </w:p>
        </w:tc>
        <w:tc>
          <w:tcPr>
            <w:tcW w:w="714" w:type="pct"/>
            <w:tcBorders>
              <w:top w:val="single" w:sz="4" w:space="0" w:color="auto"/>
              <w:left w:val="nil"/>
              <w:bottom w:val="single" w:sz="4" w:space="0" w:color="auto"/>
              <w:right w:val="single" w:sz="4" w:space="0" w:color="auto"/>
            </w:tcBorders>
            <w:shd w:val="clear" w:color="auto" w:fill="auto"/>
            <w:noWrap/>
            <w:vAlign w:val="center"/>
          </w:tcPr>
          <w:p w14:paraId="17ABEC14" w14:textId="78AECC66" w:rsidR="00605D88" w:rsidRPr="00605D88" w:rsidRDefault="00605D88" w:rsidP="00605D88">
            <w:pPr>
              <w:spacing w:line="240" w:lineRule="auto"/>
              <w:jc w:val="both"/>
              <w:rPr>
                <w:sz w:val="18"/>
                <w:szCs w:val="18"/>
              </w:rPr>
            </w:pPr>
            <w:r w:rsidRPr="00832DE0">
              <w:rPr>
                <w:sz w:val="18"/>
                <w:szCs w:val="18"/>
              </w:rPr>
              <w:t>3.6%</w:t>
            </w:r>
          </w:p>
        </w:tc>
        <w:tc>
          <w:tcPr>
            <w:tcW w:w="714" w:type="pct"/>
            <w:tcBorders>
              <w:top w:val="single" w:sz="4" w:space="0" w:color="auto"/>
              <w:left w:val="nil"/>
              <w:bottom w:val="single" w:sz="4" w:space="0" w:color="auto"/>
              <w:right w:val="single" w:sz="4" w:space="0" w:color="auto"/>
            </w:tcBorders>
            <w:shd w:val="clear" w:color="auto" w:fill="auto"/>
            <w:noWrap/>
            <w:vAlign w:val="center"/>
          </w:tcPr>
          <w:p w14:paraId="398C897E" w14:textId="7E0267FC" w:rsidR="00605D88" w:rsidRPr="00605D88" w:rsidRDefault="00605D88" w:rsidP="00605D88">
            <w:pPr>
              <w:spacing w:line="240" w:lineRule="auto"/>
              <w:jc w:val="both"/>
              <w:rPr>
                <w:sz w:val="18"/>
                <w:szCs w:val="18"/>
              </w:rPr>
            </w:pPr>
            <w:r w:rsidRPr="00832DE0">
              <w:rPr>
                <w:sz w:val="18"/>
                <w:szCs w:val="18"/>
              </w:rPr>
              <w:t>0.2%</w:t>
            </w:r>
          </w:p>
        </w:tc>
      </w:tr>
    </w:tbl>
    <w:p w14:paraId="50CD7105" w14:textId="77777777" w:rsidR="00826421" w:rsidRPr="00826421" w:rsidRDefault="00826421" w:rsidP="00616B01">
      <w:pPr>
        <w:pStyle w:val="Source"/>
      </w:pPr>
      <w:r w:rsidRPr="00826421">
        <w:t>Source: Census 2011</w:t>
      </w:r>
    </w:p>
    <w:p w14:paraId="7475ADB2" w14:textId="3D5C229C"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 xml:space="preserve">The next step is to project how the overall number of older people in </w:t>
      </w:r>
      <w:r w:rsidR="0015105E">
        <w:rPr>
          <w:sz w:val="18"/>
          <w:szCs w:val="18"/>
          <w:lang w:val="en-US"/>
        </w:rPr>
        <w:t>Weymouth</w:t>
      </w:r>
      <w:r w:rsidRPr="00826421">
        <w:rPr>
          <w:sz w:val="18"/>
          <w:szCs w:val="18"/>
          <w:lang w:val="en-US"/>
        </w:rPr>
        <w:t xml:space="preserve"> is likely to change in future, by extrapolating from the ONS Sub-National Population Projections for </w:t>
      </w:r>
      <w:r w:rsidR="00324946">
        <w:rPr>
          <w:sz w:val="18"/>
          <w:szCs w:val="18"/>
          <w:lang w:val="en-US"/>
        </w:rPr>
        <w:t>Weymouth and Portland</w:t>
      </w:r>
      <w:r w:rsidRPr="00826421">
        <w:rPr>
          <w:sz w:val="18"/>
          <w:szCs w:val="18"/>
          <w:lang w:val="en-US"/>
        </w:rPr>
        <w:t xml:space="preserve"> at the end of the Plan period. The figure must be extrapolated from the L</w:t>
      </w:r>
      <w:r w:rsidR="00974888">
        <w:rPr>
          <w:sz w:val="18"/>
          <w:szCs w:val="18"/>
          <w:lang w:val="en-US"/>
        </w:rPr>
        <w:t>ocal Authority level</w:t>
      </w:r>
      <w:r w:rsidRPr="00826421">
        <w:rPr>
          <w:sz w:val="18"/>
          <w:szCs w:val="18"/>
          <w:lang w:val="en-US"/>
        </w:rPr>
        <w:t xml:space="preserve"> data because such projections are not available at neighbourhood level. The results are set out in </w:t>
      </w:r>
      <w:r w:rsidRPr="00826421">
        <w:rPr>
          <w:sz w:val="18"/>
          <w:szCs w:val="18"/>
          <w:lang w:val="en-US"/>
        </w:rPr>
        <w:fldChar w:fldCharType="begin"/>
      </w:r>
      <w:r w:rsidRPr="00826421">
        <w:rPr>
          <w:sz w:val="18"/>
          <w:szCs w:val="18"/>
          <w:lang w:val="en-US"/>
        </w:rPr>
        <w:instrText xml:space="preserve"> REF _Ref1030637 \h  \* MERGEFORMAT </w:instrText>
      </w:r>
      <w:r w:rsidRPr="00826421">
        <w:rPr>
          <w:sz w:val="18"/>
          <w:szCs w:val="18"/>
          <w:lang w:val="en-US"/>
        </w:rPr>
      </w:r>
      <w:r w:rsidRPr="00826421">
        <w:rPr>
          <w:sz w:val="18"/>
          <w:szCs w:val="18"/>
          <w:lang w:val="en-US"/>
        </w:rPr>
        <w:fldChar w:fldCharType="separate"/>
      </w:r>
      <w:r w:rsidR="00603781" w:rsidRPr="00603781">
        <w:rPr>
          <w:sz w:val="18"/>
          <w:szCs w:val="18"/>
          <w:lang w:val="en-US"/>
        </w:rPr>
        <w:t xml:space="preserve">Table </w:t>
      </w:r>
      <w:r w:rsidR="00603781" w:rsidRPr="00603781">
        <w:rPr>
          <w:noProof/>
          <w:sz w:val="18"/>
          <w:szCs w:val="18"/>
          <w:lang w:val="en-US"/>
        </w:rPr>
        <w:t>6</w:t>
      </w:r>
      <w:r w:rsidR="00603781" w:rsidRPr="00603781">
        <w:rPr>
          <w:noProof/>
          <w:sz w:val="18"/>
          <w:szCs w:val="18"/>
          <w:lang w:val="en-US"/>
        </w:rPr>
        <w:noBreakHyphen/>
        <w:t>3</w:t>
      </w:r>
      <w:r w:rsidRPr="00826421">
        <w:rPr>
          <w:sz w:val="18"/>
          <w:szCs w:val="18"/>
          <w:lang w:val="en-US"/>
        </w:rPr>
        <w:fldChar w:fldCharType="end"/>
      </w:r>
      <w:r w:rsidRPr="00826421">
        <w:rPr>
          <w:sz w:val="18"/>
          <w:szCs w:val="18"/>
          <w:lang w:val="en-US"/>
        </w:rPr>
        <w:t xml:space="preserve"> below.</w:t>
      </w:r>
    </w:p>
    <w:p w14:paraId="6195808B" w14:textId="1CCBD666"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 xml:space="preserve">This calculation indicates </w:t>
      </w:r>
      <w:r w:rsidR="004355EC">
        <w:rPr>
          <w:sz w:val="18"/>
          <w:szCs w:val="18"/>
          <w:lang w:val="en-US"/>
        </w:rPr>
        <w:t>that the proportion of residents aged 75 or over in Weymouth will significantly increase</w:t>
      </w:r>
      <w:r w:rsidR="000758BB">
        <w:rPr>
          <w:sz w:val="18"/>
          <w:szCs w:val="18"/>
          <w:lang w:val="en-US"/>
        </w:rPr>
        <w:t>, almost doubling</w:t>
      </w:r>
      <w:r w:rsidR="004355EC">
        <w:rPr>
          <w:sz w:val="18"/>
          <w:szCs w:val="18"/>
          <w:lang w:val="en-US"/>
        </w:rPr>
        <w:t xml:space="preserve"> from 10.5% in 2011 to </w:t>
      </w:r>
      <w:r w:rsidR="000758BB">
        <w:rPr>
          <w:sz w:val="18"/>
          <w:szCs w:val="18"/>
          <w:lang w:val="en-US"/>
        </w:rPr>
        <w:t>19.8</w:t>
      </w:r>
      <w:r w:rsidR="004355EC">
        <w:rPr>
          <w:sz w:val="18"/>
          <w:szCs w:val="18"/>
          <w:lang w:val="en-US"/>
        </w:rPr>
        <w:t>% in 2038</w:t>
      </w:r>
      <w:r w:rsidR="003B0CE1">
        <w:rPr>
          <w:sz w:val="18"/>
          <w:szCs w:val="18"/>
          <w:lang w:val="en-US"/>
        </w:rPr>
        <w:t>, from 5,505 to 10,981.</w:t>
      </w:r>
      <w:r w:rsidR="00416307">
        <w:rPr>
          <w:sz w:val="18"/>
          <w:szCs w:val="18"/>
          <w:lang w:val="en-US"/>
        </w:rPr>
        <w:t xml:space="preserve"> This represents a growth in the population aged 75+ of 5,476.</w:t>
      </w:r>
    </w:p>
    <w:p w14:paraId="3F715081" w14:textId="7AA1AB76" w:rsidR="00826421" w:rsidRPr="00826421" w:rsidRDefault="00826421" w:rsidP="00826421">
      <w:pPr>
        <w:keepNext/>
        <w:spacing w:after="120"/>
        <w:ind w:left="425"/>
        <w:jc w:val="both"/>
        <w:rPr>
          <w:rFonts w:asciiTheme="majorHAnsi" w:hAnsiTheme="majorHAnsi"/>
          <w:b/>
          <w:bCs/>
          <w:color w:val="00B5E2" w:themeColor="accent1"/>
          <w:sz w:val="18"/>
          <w:szCs w:val="18"/>
        </w:rPr>
      </w:pPr>
      <w:bookmarkStart w:id="199" w:name="_Ref1030637"/>
      <w:r w:rsidRPr="00826421">
        <w:rPr>
          <w:rFonts w:asciiTheme="majorHAnsi" w:hAnsiTheme="majorHAnsi"/>
          <w:b/>
          <w:bCs/>
          <w:color w:val="00B5E2" w:themeColor="accent1"/>
          <w:sz w:val="18"/>
          <w:szCs w:val="18"/>
        </w:rPr>
        <w:t xml:space="preserve">Table </w:t>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STYLEREF 1 \s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6</w:t>
      </w:r>
      <w:r w:rsidR="00BA4C32">
        <w:rPr>
          <w:rFonts w:asciiTheme="majorHAnsi" w:hAnsiTheme="majorHAnsi"/>
          <w:b/>
          <w:bCs/>
          <w:color w:val="00B5E2" w:themeColor="accent1"/>
          <w:sz w:val="18"/>
          <w:szCs w:val="18"/>
        </w:rPr>
        <w:fldChar w:fldCharType="end"/>
      </w:r>
      <w:r w:rsidR="00BA4C32">
        <w:rPr>
          <w:rFonts w:asciiTheme="majorHAnsi" w:hAnsiTheme="majorHAnsi"/>
          <w:b/>
          <w:bCs/>
          <w:color w:val="00B5E2" w:themeColor="accent1"/>
          <w:sz w:val="18"/>
          <w:szCs w:val="18"/>
        </w:rPr>
        <w:noBreakHyphen/>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SEQ Table \* ARABIC \s 1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3</w:t>
      </w:r>
      <w:r w:rsidR="00BA4C32">
        <w:rPr>
          <w:rFonts w:asciiTheme="majorHAnsi" w:hAnsiTheme="majorHAnsi"/>
          <w:b/>
          <w:bCs/>
          <w:color w:val="00B5E2" w:themeColor="accent1"/>
          <w:sz w:val="18"/>
          <w:szCs w:val="18"/>
        </w:rPr>
        <w:fldChar w:fldCharType="end"/>
      </w:r>
      <w:bookmarkEnd w:id="199"/>
      <w:r w:rsidRPr="00826421">
        <w:rPr>
          <w:rFonts w:asciiTheme="majorHAnsi" w:hAnsiTheme="majorHAnsi"/>
          <w:b/>
          <w:bCs/>
          <w:color w:val="00B5E2" w:themeColor="accent1"/>
          <w:sz w:val="18"/>
          <w:szCs w:val="18"/>
        </w:rPr>
        <w:t xml:space="preserve">: Modelled projection of elderly population in </w:t>
      </w:r>
      <w:r w:rsidR="0015105E">
        <w:rPr>
          <w:rFonts w:asciiTheme="majorHAnsi" w:hAnsiTheme="majorHAnsi"/>
          <w:b/>
          <w:bCs/>
          <w:color w:val="00B5E2" w:themeColor="accent1"/>
          <w:sz w:val="18"/>
          <w:szCs w:val="18"/>
        </w:rPr>
        <w:t>Weymouth</w:t>
      </w:r>
      <w:r w:rsidRPr="00826421">
        <w:rPr>
          <w:rFonts w:asciiTheme="majorHAnsi" w:hAnsiTheme="majorHAnsi"/>
          <w:b/>
          <w:bCs/>
          <w:color w:val="00B5E2" w:themeColor="accent1"/>
          <w:sz w:val="18"/>
          <w:szCs w:val="18"/>
        </w:rPr>
        <w:t xml:space="preserve"> by end of Plan period</w:t>
      </w:r>
    </w:p>
    <w:tbl>
      <w:tblPr>
        <w:tblStyle w:val="Style12"/>
        <w:tblW w:w="4767" w:type="pct"/>
        <w:tblInd w:w="421" w:type="dxa"/>
        <w:tblLook w:val="04A0" w:firstRow="1" w:lastRow="0" w:firstColumn="1" w:lastColumn="0" w:noHBand="0" w:noVBand="1"/>
      </w:tblPr>
      <w:tblGrid>
        <w:gridCol w:w="1117"/>
        <w:gridCol w:w="1718"/>
        <w:gridCol w:w="1869"/>
        <w:gridCol w:w="2242"/>
        <w:gridCol w:w="2420"/>
      </w:tblGrid>
      <w:tr w:rsidR="00826421" w:rsidRPr="00826421" w14:paraId="49A23D0B" w14:textId="77777777" w:rsidTr="00957FE6">
        <w:trPr>
          <w:cnfStyle w:val="100000000000" w:firstRow="1" w:lastRow="0" w:firstColumn="0" w:lastColumn="0" w:oddVBand="0" w:evenVBand="0" w:oddHBand="0" w:evenHBand="0" w:firstRowFirstColumn="0" w:firstRowLastColumn="0" w:lastRowFirstColumn="0" w:lastRowLastColumn="0"/>
          <w:trHeight w:val="101"/>
        </w:trPr>
        <w:tc>
          <w:tcPr>
            <w:tcW w:w="596" w:type="pct"/>
            <w:vMerge w:val="restart"/>
            <w:noWrap/>
            <w:vAlign w:val="center"/>
            <w:hideMark/>
          </w:tcPr>
          <w:p w14:paraId="792A2FF0" w14:textId="77777777" w:rsidR="00826421" w:rsidRPr="00826421" w:rsidRDefault="00826421" w:rsidP="00826421">
            <w:pPr>
              <w:ind w:left="0"/>
              <w:jc w:val="both"/>
              <w:rPr>
                <w:b/>
                <w:color w:val="FFFFFF" w:themeColor="background1"/>
                <w:sz w:val="18"/>
                <w:szCs w:val="18"/>
              </w:rPr>
            </w:pPr>
            <w:r w:rsidRPr="00826421">
              <w:rPr>
                <w:b/>
                <w:color w:val="FFFFFF" w:themeColor="background1"/>
                <w:sz w:val="18"/>
                <w:szCs w:val="18"/>
              </w:rPr>
              <w:t>Age group</w:t>
            </w:r>
          </w:p>
        </w:tc>
        <w:tc>
          <w:tcPr>
            <w:tcW w:w="1915" w:type="pct"/>
            <w:gridSpan w:val="2"/>
            <w:vAlign w:val="center"/>
          </w:tcPr>
          <w:p w14:paraId="627E0A8A" w14:textId="4CA3698C" w:rsidR="00826421" w:rsidRPr="00826421" w:rsidRDefault="00957FE6" w:rsidP="00826421">
            <w:pPr>
              <w:ind w:left="0"/>
              <w:jc w:val="both"/>
              <w:rPr>
                <w:b/>
                <w:color w:val="FFFFFF" w:themeColor="background1"/>
                <w:sz w:val="18"/>
                <w:szCs w:val="18"/>
              </w:rPr>
            </w:pPr>
            <w:r>
              <w:rPr>
                <w:b/>
                <w:color w:val="FFFFFF" w:themeColor="background1"/>
                <w:sz w:val="18"/>
                <w:szCs w:val="18"/>
              </w:rPr>
              <w:t>2011</w:t>
            </w:r>
          </w:p>
        </w:tc>
        <w:tc>
          <w:tcPr>
            <w:tcW w:w="2489" w:type="pct"/>
            <w:gridSpan w:val="2"/>
            <w:vAlign w:val="center"/>
          </w:tcPr>
          <w:p w14:paraId="18672FD2" w14:textId="6FFCB6E1" w:rsidR="00826421" w:rsidRPr="00826421" w:rsidRDefault="00957FE6" w:rsidP="00826421">
            <w:pPr>
              <w:ind w:left="0"/>
              <w:jc w:val="both"/>
              <w:rPr>
                <w:b/>
                <w:color w:val="FFFFFF" w:themeColor="background1"/>
                <w:sz w:val="18"/>
                <w:szCs w:val="18"/>
              </w:rPr>
            </w:pPr>
            <w:r>
              <w:rPr>
                <w:b/>
                <w:color w:val="FFFFFF" w:themeColor="background1"/>
                <w:sz w:val="18"/>
                <w:szCs w:val="18"/>
              </w:rPr>
              <w:t>2038</w:t>
            </w:r>
          </w:p>
        </w:tc>
      </w:tr>
      <w:tr w:rsidR="00957FE6" w:rsidRPr="00826421" w14:paraId="7339C63D" w14:textId="77777777" w:rsidTr="00832DE0">
        <w:trPr>
          <w:trHeight w:val="599"/>
        </w:trPr>
        <w:tc>
          <w:tcPr>
            <w:tcW w:w="0" w:type="pct"/>
            <w:vMerge/>
            <w:shd w:val="clear" w:color="auto" w:fill="000000" w:themeFill="text1"/>
            <w:noWrap/>
            <w:vAlign w:val="center"/>
          </w:tcPr>
          <w:p w14:paraId="700C99D9" w14:textId="77777777" w:rsidR="00957FE6" w:rsidRPr="00826421" w:rsidRDefault="00957FE6" w:rsidP="00957FE6">
            <w:pPr>
              <w:ind w:left="0"/>
              <w:jc w:val="both"/>
              <w:rPr>
                <w:b/>
                <w:color w:val="FFFFFF" w:themeColor="background1"/>
                <w:sz w:val="18"/>
                <w:szCs w:val="18"/>
              </w:rPr>
            </w:pPr>
          </w:p>
        </w:tc>
        <w:tc>
          <w:tcPr>
            <w:tcW w:w="917" w:type="pct"/>
            <w:shd w:val="clear" w:color="auto" w:fill="000000" w:themeFill="text1"/>
            <w:vAlign w:val="center"/>
          </w:tcPr>
          <w:p w14:paraId="2E770548" w14:textId="7715AA2B" w:rsidR="00957FE6" w:rsidRPr="00957FE6" w:rsidRDefault="00957FE6" w:rsidP="00957FE6">
            <w:pPr>
              <w:ind w:left="0"/>
              <w:jc w:val="both"/>
              <w:rPr>
                <w:b/>
                <w:color w:val="FFFFFF" w:themeColor="background1"/>
                <w:sz w:val="18"/>
                <w:szCs w:val="18"/>
              </w:rPr>
            </w:pPr>
            <w:r w:rsidRPr="00832DE0">
              <w:rPr>
                <w:b/>
                <w:bCs/>
                <w:color w:val="FFFFFF"/>
                <w:sz w:val="18"/>
                <w:szCs w:val="18"/>
              </w:rPr>
              <w:t>Weymouth</w:t>
            </w:r>
            <w:r>
              <w:rPr>
                <w:b/>
                <w:bCs/>
                <w:color w:val="FFFFFF"/>
                <w:sz w:val="18"/>
                <w:szCs w:val="18"/>
              </w:rPr>
              <w:t xml:space="preserve"> (Census)</w:t>
            </w:r>
          </w:p>
        </w:tc>
        <w:tc>
          <w:tcPr>
            <w:tcW w:w="998" w:type="pct"/>
            <w:shd w:val="clear" w:color="auto" w:fill="000000" w:themeFill="text1"/>
            <w:vAlign w:val="center"/>
          </w:tcPr>
          <w:p w14:paraId="271260EB" w14:textId="3B7FD679" w:rsidR="00957FE6" w:rsidRPr="00957FE6" w:rsidRDefault="00D35EC2" w:rsidP="00832DE0">
            <w:pPr>
              <w:ind w:left="0"/>
              <w:rPr>
                <w:b/>
                <w:color w:val="FFFFFF" w:themeColor="background1"/>
                <w:sz w:val="18"/>
                <w:szCs w:val="18"/>
              </w:rPr>
            </w:pPr>
            <w:r>
              <w:rPr>
                <w:b/>
                <w:bCs/>
                <w:color w:val="FFFFFF"/>
                <w:sz w:val="18"/>
                <w:szCs w:val="18"/>
              </w:rPr>
              <w:t>Weymouth and Portland</w:t>
            </w:r>
            <w:r w:rsidR="00957FE6">
              <w:rPr>
                <w:b/>
                <w:bCs/>
                <w:color w:val="FFFFFF"/>
                <w:sz w:val="18"/>
                <w:szCs w:val="18"/>
              </w:rPr>
              <w:t xml:space="preserve"> (Census)</w:t>
            </w:r>
          </w:p>
        </w:tc>
        <w:tc>
          <w:tcPr>
            <w:tcW w:w="1197" w:type="pct"/>
            <w:shd w:val="clear" w:color="auto" w:fill="000000" w:themeFill="text1"/>
            <w:vAlign w:val="center"/>
          </w:tcPr>
          <w:p w14:paraId="071CCEF9" w14:textId="357BAF52" w:rsidR="00957FE6" w:rsidRPr="00957FE6" w:rsidRDefault="00957FE6" w:rsidP="00957FE6">
            <w:pPr>
              <w:ind w:left="0"/>
              <w:jc w:val="both"/>
              <w:rPr>
                <w:b/>
                <w:color w:val="FFFFFF" w:themeColor="background1"/>
                <w:sz w:val="18"/>
                <w:szCs w:val="18"/>
              </w:rPr>
            </w:pPr>
            <w:r w:rsidRPr="00832DE0">
              <w:rPr>
                <w:b/>
                <w:bCs/>
                <w:color w:val="FFFFFF"/>
                <w:sz w:val="18"/>
                <w:szCs w:val="18"/>
              </w:rPr>
              <w:t>Weymouth</w:t>
            </w:r>
            <w:r>
              <w:rPr>
                <w:b/>
                <w:bCs/>
                <w:color w:val="FFFFFF"/>
                <w:sz w:val="18"/>
                <w:szCs w:val="18"/>
              </w:rPr>
              <w:t xml:space="preserve"> (AECOM)</w:t>
            </w:r>
          </w:p>
        </w:tc>
        <w:tc>
          <w:tcPr>
            <w:tcW w:w="1292" w:type="pct"/>
            <w:shd w:val="clear" w:color="auto" w:fill="000000" w:themeFill="text1"/>
            <w:vAlign w:val="center"/>
          </w:tcPr>
          <w:p w14:paraId="773CD163" w14:textId="56DB7BA5" w:rsidR="00957FE6" w:rsidRPr="00957FE6" w:rsidRDefault="00D35EC2" w:rsidP="00832DE0">
            <w:pPr>
              <w:ind w:left="0"/>
              <w:rPr>
                <w:b/>
                <w:color w:val="FFFFFF" w:themeColor="background1"/>
                <w:sz w:val="18"/>
                <w:szCs w:val="18"/>
              </w:rPr>
            </w:pPr>
            <w:r>
              <w:rPr>
                <w:b/>
                <w:bCs/>
                <w:color w:val="FFFFFF"/>
                <w:sz w:val="18"/>
                <w:szCs w:val="18"/>
              </w:rPr>
              <w:t xml:space="preserve">Weymouth and Portland </w:t>
            </w:r>
            <w:r w:rsidR="00957FE6">
              <w:rPr>
                <w:b/>
                <w:bCs/>
                <w:color w:val="FFFFFF"/>
                <w:sz w:val="18"/>
                <w:szCs w:val="18"/>
              </w:rPr>
              <w:t>(ONS SNPP 2018)</w:t>
            </w:r>
          </w:p>
        </w:tc>
      </w:tr>
      <w:tr w:rsidR="00957FE6" w:rsidRPr="00826421" w14:paraId="4154A526" w14:textId="77777777" w:rsidTr="00832DE0">
        <w:trPr>
          <w:trHeight w:val="266"/>
        </w:trPr>
        <w:tc>
          <w:tcPr>
            <w:tcW w:w="596" w:type="pct"/>
            <w:noWrap/>
            <w:vAlign w:val="center"/>
            <w:hideMark/>
          </w:tcPr>
          <w:p w14:paraId="0A76F4FF" w14:textId="77777777" w:rsidR="00957FE6" w:rsidRPr="00826421" w:rsidRDefault="00957FE6" w:rsidP="00957FE6">
            <w:pPr>
              <w:ind w:left="0"/>
              <w:jc w:val="both"/>
              <w:rPr>
                <w:color w:val="000000" w:themeColor="text1"/>
                <w:sz w:val="18"/>
                <w:szCs w:val="18"/>
              </w:rPr>
            </w:pPr>
            <w:r w:rsidRPr="00826421">
              <w:rPr>
                <w:color w:val="000000" w:themeColor="text1"/>
                <w:sz w:val="18"/>
                <w:szCs w:val="18"/>
              </w:rPr>
              <w:t>All ages</w:t>
            </w:r>
          </w:p>
        </w:tc>
        <w:tc>
          <w:tcPr>
            <w:tcW w:w="917" w:type="pct"/>
            <w:noWrap/>
            <w:vAlign w:val="center"/>
          </w:tcPr>
          <w:p w14:paraId="10A17E3B" w14:textId="7C0CE9A9" w:rsidR="00957FE6" w:rsidRPr="00957FE6" w:rsidRDefault="00957FE6" w:rsidP="00957FE6">
            <w:pPr>
              <w:ind w:left="0"/>
              <w:jc w:val="both"/>
              <w:rPr>
                <w:color w:val="000000" w:themeColor="text1"/>
                <w:sz w:val="18"/>
                <w:szCs w:val="18"/>
              </w:rPr>
            </w:pPr>
            <w:r w:rsidRPr="00832DE0">
              <w:rPr>
                <w:sz w:val="18"/>
                <w:szCs w:val="18"/>
              </w:rPr>
              <w:t>52,323</w:t>
            </w:r>
          </w:p>
        </w:tc>
        <w:tc>
          <w:tcPr>
            <w:tcW w:w="998" w:type="pct"/>
            <w:noWrap/>
            <w:vAlign w:val="center"/>
          </w:tcPr>
          <w:p w14:paraId="1E745BA0" w14:textId="67DA61B4" w:rsidR="00957FE6" w:rsidRPr="00957FE6" w:rsidRDefault="00D35EC2" w:rsidP="00957FE6">
            <w:pPr>
              <w:ind w:left="0"/>
              <w:jc w:val="both"/>
              <w:rPr>
                <w:color w:val="000000" w:themeColor="text1"/>
                <w:sz w:val="18"/>
                <w:szCs w:val="18"/>
              </w:rPr>
            </w:pPr>
            <w:r>
              <w:rPr>
                <w:sz w:val="18"/>
                <w:szCs w:val="18"/>
              </w:rPr>
              <w:t>65,617</w:t>
            </w:r>
          </w:p>
        </w:tc>
        <w:tc>
          <w:tcPr>
            <w:tcW w:w="1197" w:type="pct"/>
            <w:noWrap/>
            <w:vAlign w:val="center"/>
          </w:tcPr>
          <w:p w14:paraId="70EBD9D2" w14:textId="44BCC777" w:rsidR="00957FE6" w:rsidRPr="00957FE6" w:rsidRDefault="00957FE6" w:rsidP="00957FE6">
            <w:pPr>
              <w:ind w:left="0"/>
              <w:jc w:val="both"/>
              <w:rPr>
                <w:color w:val="000000" w:themeColor="text1"/>
                <w:sz w:val="18"/>
                <w:szCs w:val="18"/>
              </w:rPr>
            </w:pPr>
            <w:r w:rsidRPr="00832DE0">
              <w:rPr>
                <w:sz w:val="18"/>
                <w:szCs w:val="18"/>
              </w:rPr>
              <w:t>5</w:t>
            </w:r>
            <w:r w:rsidR="00D35EC2">
              <w:rPr>
                <w:sz w:val="18"/>
                <w:szCs w:val="18"/>
              </w:rPr>
              <w:t>5,425</w:t>
            </w:r>
          </w:p>
        </w:tc>
        <w:tc>
          <w:tcPr>
            <w:tcW w:w="1292" w:type="pct"/>
            <w:noWrap/>
            <w:vAlign w:val="center"/>
          </w:tcPr>
          <w:p w14:paraId="23103F2F" w14:textId="7EF09436" w:rsidR="00957FE6" w:rsidRPr="00957FE6" w:rsidRDefault="00D35EC2" w:rsidP="00957FE6">
            <w:pPr>
              <w:ind w:left="0"/>
              <w:jc w:val="both"/>
              <w:rPr>
                <w:color w:val="000000" w:themeColor="text1"/>
                <w:sz w:val="18"/>
                <w:szCs w:val="18"/>
              </w:rPr>
            </w:pPr>
            <w:r>
              <w:rPr>
                <w:sz w:val="18"/>
                <w:szCs w:val="18"/>
              </w:rPr>
              <w:t>69,507</w:t>
            </w:r>
          </w:p>
        </w:tc>
      </w:tr>
      <w:tr w:rsidR="00957FE6" w:rsidRPr="00826421" w14:paraId="2E7E6695" w14:textId="77777777" w:rsidTr="00832DE0">
        <w:trPr>
          <w:trHeight w:val="266"/>
        </w:trPr>
        <w:tc>
          <w:tcPr>
            <w:tcW w:w="596" w:type="pct"/>
            <w:noWrap/>
            <w:vAlign w:val="center"/>
            <w:hideMark/>
          </w:tcPr>
          <w:p w14:paraId="675069AF" w14:textId="77777777" w:rsidR="00957FE6" w:rsidRPr="00826421" w:rsidRDefault="00957FE6" w:rsidP="00957FE6">
            <w:pPr>
              <w:ind w:left="0"/>
              <w:jc w:val="both"/>
              <w:rPr>
                <w:color w:val="000000" w:themeColor="text1"/>
                <w:sz w:val="18"/>
                <w:szCs w:val="18"/>
              </w:rPr>
            </w:pPr>
            <w:r w:rsidRPr="00826421">
              <w:rPr>
                <w:color w:val="000000" w:themeColor="text1"/>
                <w:sz w:val="18"/>
                <w:szCs w:val="18"/>
              </w:rPr>
              <w:t>75+</w:t>
            </w:r>
          </w:p>
        </w:tc>
        <w:tc>
          <w:tcPr>
            <w:tcW w:w="917" w:type="pct"/>
            <w:noWrap/>
            <w:vAlign w:val="center"/>
          </w:tcPr>
          <w:p w14:paraId="12F35856" w14:textId="237023AC" w:rsidR="00957FE6" w:rsidRPr="00957FE6" w:rsidRDefault="00957FE6" w:rsidP="00957FE6">
            <w:pPr>
              <w:ind w:left="0"/>
              <w:jc w:val="both"/>
              <w:rPr>
                <w:color w:val="000000" w:themeColor="text1"/>
                <w:sz w:val="18"/>
                <w:szCs w:val="18"/>
              </w:rPr>
            </w:pPr>
            <w:r w:rsidRPr="00832DE0">
              <w:rPr>
                <w:sz w:val="18"/>
                <w:szCs w:val="18"/>
              </w:rPr>
              <w:t>5,505</w:t>
            </w:r>
          </w:p>
        </w:tc>
        <w:tc>
          <w:tcPr>
            <w:tcW w:w="998" w:type="pct"/>
            <w:noWrap/>
            <w:vAlign w:val="center"/>
          </w:tcPr>
          <w:p w14:paraId="1C909517" w14:textId="0B0767AA" w:rsidR="00957FE6" w:rsidRPr="00957FE6" w:rsidRDefault="00D35EC2" w:rsidP="00957FE6">
            <w:pPr>
              <w:ind w:left="0"/>
              <w:jc w:val="both"/>
              <w:rPr>
                <w:color w:val="000000" w:themeColor="text1"/>
                <w:sz w:val="18"/>
                <w:szCs w:val="18"/>
              </w:rPr>
            </w:pPr>
            <w:r>
              <w:rPr>
                <w:sz w:val="18"/>
                <w:szCs w:val="18"/>
              </w:rPr>
              <w:t>6,435</w:t>
            </w:r>
          </w:p>
        </w:tc>
        <w:tc>
          <w:tcPr>
            <w:tcW w:w="1197" w:type="pct"/>
            <w:noWrap/>
            <w:vAlign w:val="center"/>
          </w:tcPr>
          <w:p w14:paraId="71B44F85" w14:textId="20250527" w:rsidR="00957FE6" w:rsidRPr="00957FE6" w:rsidRDefault="00957FE6" w:rsidP="00957FE6">
            <w:pPr>
              <w:ind w:left="0"/>
              <w:jc w:val="both"/>
              <w:rPr>
                <w:color w:val="000000" w:themeColor="text1"/>
                <w:sz w:val="18"/>
                <w:szCs w:val="18"/>
              </w:rPr>
            </w:pPr>
            <w:r w:rsidRPr="00832DE0">
              <w:rPr>
                <w:sz w:val="18"/>
                <w:szCs w:val="18"/>
              </w:rPr>
              <w:t>10,</w:t>
            </w:r>
            <w:r w:rsidR="00D35EC2">
              <w:rPr>
                <w:sz w:val="18"/>
                <w:szCs w:val="18"/>
              </w:rPr>
              <w:t>98</w:t>
            </w:r>
            <w:r w:rsidR="000758BB">
              <w:rPr>
                <w:sz w:val="18"/>
                <w:szCs w:val="18"/>
              </w:rPr>
              <w:t>1</w:t>
            </w:r>
          </w:p>
        </w:tc>
        <w:tc>
          <w:tcPr>
            <w:tcW w:w="1292" w:type="pct"/>
            <w:noWrap/>
            <w:vAlign w:val="center"/>
          </w:tcPr>
          <w:p w14:paraId="2D5B9C0D" w14:textId="5EC2A82B" w:rsidR="00957FE6" w:rsidRPr="00957FE6" w:rsidRDefault="00D35EC2" w:rsidP="00957FE6">
            <w:pPr>
              <w:ind w:left="0"/>
              <w:jc w:val="both"/>
              <w:rPr>
                <w:color w:val="000000" w:themeColor="text1"/>
                <w:sz w:val="18"/>
                <w:szCs w:val="18"/>
              </w:rPr>
            </w:pPr>
            <w:r>
              <w:rPr>
                <w:sz w:val="18"/>
                <w:szCs w:val="18"/>
              </w:rPr>
              <w:t>12,83</w:t>
            </w:r>
            <w:r w:rsidR="000758BB">
              <w:rPr>
                <w:sz w:val="18"/>
                <w:szCs w:val="18"/>
              </w:rPr>
              <w:t>6</w:t>
            </w:r>
          </w:p>
        </w:tc>
      </w:tr>
      <w:tr w:rsidR="00957FE6" w:rsidRPr="00826421" w14:paraId="777DA93C" w14:textId="77777777" w:rsidTr="00832DE0">
        <w:trPr>
          <w:trHeight w:val="266"/>
        </w:trPr>
        <w:tc>
          <w:tcPr>
            <w:tcW w:w="596" w:type="pct"/>
            <w:noWrap/>
            <w:vAlign w:val="center"/>
          </w:tcPr>
          <w:p w14:paraId="42321D06" w14:textId="77777777" w:rsidR="00957FE6" w:rsidRPr="00826421" w:rsidRDefault="00957FE6" w:rsidP="00957FE6">
            <w:pPr>
              <w:ind w:left="0"/>
              <w:jc w:val="both"/>
              <w:rPr>
                <w:color w:val="000000" w:themeColor="text1"/>
                <w:sz w:val="18"/>
                <w:szCs w:val="18"/>
              </w:rPr>
            </w:pPr>
            <w:r w:rsidRPr="00826421">
              <w:rPr>
                <w:color w:val="000000" w:themeColor="text1"/>
                <w:sz w:val="18"/>
                <w:szCs w:val="18"/>
              </w:rPr>
              <w:t>%</w:t>
            </w:r>
          </w:p>
        </w:tc>
        <w:tc>
          <w:tcPr>
            <w:tcW w:w="917" w:type="pct"/>
            <w:noWrap/>
            <w:vAlign w:val="center"/>
          </w:tcPr>
          <w:p w14:paraId="1790402E" w14:textId="01E61170" w:rsidR="00957FE6" w:rsidRPr="00957FE6" w:rsidRDefault="00957FE6" w:rsidP="00957FE6">
            <w:pPr>
              <w:ind w:left="0"/>
              <w:jc w:val="both"/>
              <w:rPr>
                <w:color w:val="000000" w:themeColor="text1"/>
                <w:sz w:val="18"/>
                <w:szCs w:val="18"/>
              </w:rPr>
            </w:pPr>
            <w:r w:rsidRPr="00832DE0">
              <w:rPr>
                <w:sz w:val="18"/>
                <w:szCs w:val="18"/>
              </w:rPr>
              <w:t>10.5%</w:t>
            </w:r>
          </w:p>
        </w:tc>
        <w:tc>
          <w:tcPr>
            <w:tcW w:w="998" w:type="pct"/>
            <w:noWrap/>
            <w:vAlign w:val="center"/>
          </w:tcPr>
          <w:p w14:paraId="13FAE5C0" w14:textId="3B30BA28" w:rsidR="00957FE6" w:rsidRPr="00957FE6" w:rsidRDefault="00D35EC2" w:rsidP="00957FE6">
            <w:pPr>
              <w:ind w:left="0"/>
              <w:jc w:val="both"/>
              <w:rPr>
                <w:color w:val="000000" w:themeColor="text1"/>
                <w:sz w:val="18"/>
                <w:szCs w:val="18"/>
              </w:rPr>
            </w:pPr>
            <w:r>
              <w:rPr>
                <w:sz w:val="18"/>
                <w:szCs w:val="18"/>
              </w:rPr>
              <w:t>9.8%</w:t>
            </w:r>
          </w:p>
        </w:tc>
        <w:tc>
          <w:tcPr>
            <w:tcW w:w="1197" w:type="pct"/>
            <w:noWrap/>
            <w:vAlign w:val="center"/>
          </w:tcPr>
          <w:p w14:paraId="1B4CC3B4" w14:textId="56EC8E20" w:rsidR="00957FE6" w:rsidRPr="00957FE6" w:rsidRDefault="00D35EC2" w:rsidP="00957FE6">
            <w:pPr>
              <w:ind w:left="0"/>
              <w:jc w:val="both"/>
              <w:rPr>
                <w:color w:val="000000" w:themeColor="text1"/>
                <w:sz w:val="18"/>
                <w:szCs w:val="18"/>
              </w:rPr>
            </w:pPr>
            <w:r>
              <w:rPr>
                <w:sz w:val="18"/>
                <w:szCs w:val="18"/>
              </w:rPr>
              <w:t>19.8</w:t>
            </w:r>
            <w:r w:rsidR="00957FE6" w:rsidRPr="00832DE0">
              <w:rPr>
                <w:sz w:val="18"/>
                <w:szCs w:val="18"/>
              </w:rPr>
              <w:t>%</w:t>
            </w:r>
          </w:p>
        </w:tc>
        <w:tc>
          <w:tcPr>
            <w:tcW w:w="1292" w:type="pct"/>
            <w:noWrap/>
            <w:vAlign w:val="center"/>
          </w:tcPr>
          <w:p w14:paraId="6AFC98C5" w14:textId="6818139F" w:rsidR="00957FE6" w:rsidRPr="00957FE6" w:rsidRDefault="00D35EC2" w:rsidP="00957FE6">
            <w:pPr>
              <w:ind w:left="0"/>
              <w:jc w:val="both"/>
              <w:rPr>
                <w:color w:val="000000" w:themeColor="text1"/>
                <w:sz w:val="18"/>
                <w:szCs w:val="18"/>
              </w:rPr>
            </w:pPr>
            <w:r>
              <w:rPr>
                <w:sz w:val="18"/>
                <w:szCs w:val="18"/>
              </w:rPr>
              <w:t>18.5</w:t>
            </w:r>
            <w:r w:rsidR="00957FE6" w:rsidRPr="00832DE0">
              <w:rPr>
                <w:sz w:val="18"/>
                <w:szCs w:val="18"/>
              </w:rPr>
              <w:t>%</w:t>
            </w:r>
          </w:p>
        </w:tc>
      </w:tr>
    </w:tbl>
    <w:p w14:paraId="2AD263C0" w14:textId="7EB5B471" w:rsidR="00826421" w:rsidRPr="00826421" w:rsidRDefault="00826421" w:rsidP="00B60B6F">
      <w:pPr>
        <w:pStyle w:val="Source"/>
      </w:pPr>
      <w:r w:rsidRPr="00826421">
        <w:t>Source: ONS SNPP 201</w:t>
      </w:r>
      <w:r w:rsidR="004355EC">
        <w:t>8</w:t>
      </w:r>
      <w:r w:rsidRPr="00826421">
        <w:t>, AECOM Calculations</w:t>
      </w:r>
    </w:p>
    <w:p w14:paraId="64498774" w14:textId="0F0BEC6C" w:rsidR="00826421" w:rsidRPr="00616B01" w:rsidRDefault="00826421" w:rsidP="00826421">
      <w:pPr>
        <w:numPr>
          <w:ilvl w:val="0"/>
          <w:numId w:val="15"/>
        </w:numPr>
        <w:spacing w:before="0" w:after="120"/>
        <w:jc w:val="both"/>
        <w:rPr>
          <w:sz w:val="18"/>
          <w:szCs w:val="18"/>
          <w:lang w:val="en-US"/>
        </w:rPr>
      </w:pPr>
      <w:r w:rsidRPr="00616B01">
        <w:rPr>
          <w:sz w:val="18"/>
          <w:szCs w:val="18"/>
          <w:lang w:val="en-US"/>
        </w:rPr>
        <w:t>T</w:t>
      </w:r>
      <w:r w:rsidR="004355EC">
        <w:rPr>
          <w:sz w:val="18"/>
          <w:szCs w:val="18"/>
          <w:lang w:val="en-US"/>
        </w:rPr>
        <w:t>he following</w:t>
      </w:r>
      <w:r w:rsidRPr="00616B01">
        <w:rPr>
          <w:sz w:val="18"/>
          <w:szCs w:val="18"/>
          <w:lang w:val="en-US"/>
        </w:rPr>
        <w:t xml:space="preserve"> projection is calculated by multiplying the projected </w:t>
      </w:r>
      <w:r w:rsidR="005364D5">
        <w:rPr>
          <w:sz w:val="18"/>
          <w:szCs w:val="18"/>
          <w:lang w:val="en-US"/>
        </w:rPr>
        <w:t xml:space="preserve">growth in the </w:t>
      </w:r>
      <w:r w:rsidRPr="00616B01">
        <w:rPr>
          <w:sz w:val="18"/>
          <w:szCs w:val="18"/>
          <w:lang w:val="en-US"/>
        </w:rPr>
        <w:t>number of people aged 75</w:t>
      </w:r>
      <w:r w:rsidR="005364D5">
        <w:rPr>
          <w:sz w:val="18"/>
          <w:szCs w:val="18"/>
          <w:lang w:val="en-US"/>
        </w:rPr>
        <w:t xml:space="preserve">+ </w:t>
      </w:r>
      <w:r w:rsidRPr="00616B01">
        <w:rPr>
          <w:sz w:val="18"/>
          <w:szCs w:val="18"/>
          <w:lang w:val="en-US"/>
        </w:rPr>
        <w:t xml:space="preserve">by the end of the Plan period by the tenure split for </w:t>
      </w:r>
      <w:r w:rsidR="006D592C">
        <w:rPr>
          <w:sz w:val="18"/>
          <w:szCs w:val="18"/>
          <w:lang w:val="en-US"/>
        </w:rPr>
        <w:t>the local authority area</w:t>
      </w:r>
      <w:r w:rsidR="006D592C" w:rsidRPr="00616B01">
        <w:rPr>
          <w:sz w:val="18"/>
          <w:szCs w:val="18"/>
          <w:lang w:val="en-US"/>
        </w:rPr>
        <w:t xml:space="preserve"> </w:t>
      </w:r>
      <w:r w:rsidRPr="00616B01">
        <w:rPr>
          <w:sz w:val="18"/>
          <w:szCs w:val="18"/>
          <w:lang w:val="en-US"/>
        </w:rPr>
        <w:t xml:space="preserve">presented in </w:t>
      </w:r>
      <w:r w:rsidRPr="00616B01">
        <w:rPr>
          <w:sz w:val="18"/>
          <w:szCs w:val="18"/>
          <w:lang w:val="en-US"/>
        </w:rPr>
        <w:fldChar w:fldCharType="begin"/>
      </w:r>
      <w:r w:rsidRPr="00616B01">
        <w:rPr>
          <w:sz w:val="18"/>
          <w:szCs w:val="18"/>
          <w:lang w:val="en-US"/>
        </w:rPr>
        <w:instrText xml:space="preserve"> REF _Ref7875803 \h  \* MERGEFORMAT </w:instrText>
      </w:r>
      <w:r w:rsidRPr="00616B01">
        <w:rPr>
          <w:sz w:val="18"/>
          <w:szCs w:val="18"/>
          <w:lang w:val="en-US"/>
        </w:rPr>
      </w:r>
      <w:r w:rsidRPr="00616B01">
        <w:rPr>
          <w:sz w:val="18"/>
          <w:szCs w:val="18"/>
          <w:lang w:val="en-US"/>
        </w:rPr>
        <w:fldChar w:fldCharType="separate"/>
      </w:r>
      <w:r w:rsidR="00603781" w:rsidRPr="00603781">
        <w:rPr>
          <w:sz w:val="18"/>
          <w:szCs w:val="18"/>
          <w:lang w:val="en-US"/>
        </w:rPr>
        <w:t xml:space="preserve">Table </w:t>
      </w:r>
      <w:r w:rsidR="00603781" w:rsidRPr="00603781">
        <w:rPr>
          <w:noProof/>
          <w:sz w:val="18"/>
          <w:szCs w:val="18"/>
          <w:lang w:val="en-US"/>
        </w:rPr>
        <w:t>6</w:t>
      </w:r>
      <w:r w:rsidR="00603781" w:rsidRPr="00603781">
        <w:rPr>
          <w:noProof/>
          <w:sz w:val="18"/>
          <w:szCs w:val="18"/>
          <w:lang w:val="en-US"/>
        </w:rPr>
        <w:noBreakHyphen/>
        <w:t>2</w:t>
      </w:r>
      <w:r w:rsidRPr="00616B01">
        <w:rPr>
          <w:sz w:val="18"/>
          <w:szCs w:val="18"/>
          <w:lang w:val="en-US"/>
        </w:rPr>
        <w:fldChar w:fldCharType="end"/>
      </w:r>
      <w:r w:rsidRPr="00616B01">
        <w:rPr>
          <w:sz w:val="18"/>
          <w:szCs w:val="18"/>
          <w:lang w:val="en-US"/>
        </w:rPr>
        <w:t xml:space="preserve"> above, and is set out in </w:t>
      </w:r>
      <w:r w:rsidRPr="00616B01">
        <w:rPr>
          <w:sz w:val="18"/>
          <w:szCs w:val="18"/>
          <w:lang w:val="en-US"/>
        </w:rPr>
        <w:fldChar w:fldCharType="begin"/>
      </w:r>
      <w:r w:rsidRPr="00616B01">
        <w:rPr>
          <w:sz w:val="18"/>
          <w:szCs w:val="18"/>
          <w:lang w:val="en-US"/>
        </w:rPr>
        <w:instrText xml:space="preserve"> REF _Ref7876377 \h  \* MERGEFORMAT </w:instrText>
      </w:r>
      <w:r w:rsidRPr="00616B01">
        <w:rPr>
          <w:sz w:val="18"/>
          <w:szCs w:val="18"/>
          <w:lang w:val="en-US"/>
        </w:rPr>
      </w:r>
      <w:r w:rsidRPr="00616B01">
        <w:rPr>
          <w:sz w:val="18"/>
          <w:szCs w:val="18"/>
          <w:lang w:val="en-US"/>
        </w:rPr>
        <w:fldChar w:fldCharType="separate"/>
      </w:r>
      <w:r w:rsidR="00603781" w:rsidRPr="00603781">
        <w:rPr>
          <w:sz w:val="18"/>
          <w:szCs w:val="18"/>
          <w:lang w:val="en-US"/>
        </w:rPr>
        <w:t xml:space="preserve">Table </w:t>
      </w:r>
      <w:r w:rsidR="00603781" w:rsidRPr="00603781">
        <w:rPr>
          <w:noProof/>
          <w:sz w:val="18"/>
          <w:szCs w:val="18"/>
          <w:lang w:val="en-US"/>
        </w:rPr>
        <w:t>6</w:t>
      </w:r>
      <w:r w:rsidR="00603781" w:rsidRPr="00603781">
        <w:rPr>
          <w:noProof/>
          <w:sz w:val="18"/>
          <w:szCs w:val="18"/>
          <w:lang w:val="en-US"/>
        </w:rPr>
        <w:noBreakHyphen/>
        <w:t>4</w:t>
      </w:r>
      <w:r w:rsidRPr="00616B01">
        <w:rPr>
          <w:sz w:val="18"/>
          <w:szCs w:val="18"/>
          <w:lang w:val="en-US"/>
        </w:rPr>
        <w:fldChar w:fldCharType="end"/>
      </w:r>
      <w:r w:rsidRPr="00616B01">
        <w:rPr>
          <w:sz w:val="18"/>
          <w:szCs w:val="18"/>
          <w:lang w:val="en-US"/>
        </w:rPr>
        <w:t xml:space="preserve"> below. </w:t>
      </w:r>
    </w:p>
    <w:p w14:paraId="73DE4AA6" w14:textId="5779B3FD"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 xml:space="preserve">A key assumption made here is that, for the purposes of determining the proportion of households aged 75+ falling into different tenures in </w:t>
      </w:r>
      <w:r w:rsidR="008B066F">
        <w:rPr>
          <w:sz w:val="18"/>
          <w:szCs w:val="18"/>
          <w:lang w:val="en-US"/>
        </w:rPr>
        <w:t>2038</w:t>
      </w:r>
      <w:r w:rsidRPr="00826421">
        <w:rPr>
          <w:sz w:val="18"/>
          <w:szCs w:val="18"/>
          <w:lang w:val="en-US"/>
        </w:rPr>
        <w:t xml:space="preserve">, and consequently the number of specialist units </w:t>
      </w:r>
      <w:r w:rsidR="00460D15">
        <w:rPr>
          <w:sz w:val="18"/>
          <w:szCs w:val="18"/>
          <w:lang w:val="en-US"/>
        </w:rPr>
        <w:t>they might need</w:t>
      </w:r>
      <w:r w:rsidRPr="00826421">
        <w:rPr>
          <w:sz w:val="18"/>
          <w:szCs w:val="18"/>
          <w:lang w:val="en-US"/>
        </w:rPr>
        <w:t xml:space="preserve">, the growth in the overall population of those aged 75 </w:t>
      </w:r>
      <w:r w:rsidR="00460D15">
        <w:rPr>
          <w:sz w:val="18"/>
          <w:szCs w:val="18"/>
          <w:lang w:val="en-US"/>
        </w:rPr>
        <w:t>is</w:t>
      </w:r>
      <w:r w:rsidRPr="00826421">
        <w:rPr>
          <w:sz w:val="18"/>
          <w:szCs w:val="18"/>
          <w:lang w:val="en-US"/>
        </w:rPr>
        <w:t xml:space="preserve"> used. </w:t>
      </w:r>
      <w:r w:rsidR="003C488B">
        <w:rPr>
          <w:sz w:val="18"/>
          <w:szCs w:val="18"/>
          <w:lang w:val="en-US"/>
        </w:rPr>
        <w:t xml:space="preserve">To calculate the number of households from </w:t>
      </w:r>
      <w:r w:rsidR="008504FB">
        <w:rPr>
          <w:sz w:val="18"/>
          <w:szCs w:val="18"/>
          <w:lang w:val="en-US"/>
        </w:rPr>
        <w:t>the population</w:t>
      </w:r>
      <w:r w:rsidR="003C488B">
        <w:rPr>
          <w:sz w:val="18"/>
          <w:szCs w:val="18"/>
          <w:lang w:val="en-US"/>
        </w:rPr>
        <w:t>, the average household size of those aged 75+ in Weymouth in 2011 is</w:t>
      </w:r>
      <w:r w:rsidR="005364D5">
        <w:rPr>
          <w:sz w:val="18"/>
          <w:szCs w:val="18"/>
          <w:lang w:val="en-US"/>
        </w:rPr>
        <w:t xml:space="preserve"> then</w:t>
      </w:r>
      <w:r w:rsidR="003C488B">
        <w:rPr>
          <w:sz w:val="18"/>
          <w:szCs w:val="18"/>
          <w:lang w:val="en-US"/>
        </w:rPr>
        <w:t xml:space="preserve"> used. </w:t>
      </w:r>
      <w:r w:rsidR="0008380D">
        <w:rPr>
          <w:sz w:val="18"/>
          <w:szCs w:val="18"/>
          <w:lang w:val="en-US"/>
        </w:rPr>
        <w:t>At the 2011 Census there</w:t>
      </w:r>
      <w:r w:rsidR="003C488B">
        <w:rPr>
          <w:sz w:val="18"/>
          <w:szCs w:val="18"/>
          <w:lang w:val="en-US"/>
        </w:rPr>
        <w:t xml:space="preserve"> were 5,505 individuals occupying 4,618 households, therefore with an</w:t>
      </w:r>
      <w:r w:rsidR="008504FB">
        <w:rPr>
          <w:sz w:val="18"/>
          <w:szCs w:val="18"/>
          <w:lang w:val="en-US"/>
        </w:rPr>
        <w:t xml:space="preserve"> average</w:t>
      </w:r>
      <w:r w:rsidR="003C488B">
        <w:rPr>
          <w:sz w:val="18"/>
          <w:szCs w:val="18"/>
          <w:lang w:val="en-US"/>
        </w:rPr>
        <w:t xml:space="preserve"> occupancy rate of 1.19</w:t>
      </w:r>
      <w:r w:rsidR="008504FB">
        <w:rPr>
          <w:sz w:val="18"/>
          <w:szCs w:val="18"/>
          <w:lang w:val="en-US"/>
        </w:rPr>
        <w:t xml:space="preserve"> individuals per household</w:t>
      </w:r>
      <w:r w:rsidR="003C488B">
        <w:rPr>
          <w:sz w:val="18"/>
          <w:szCs w:val="18"/>
          <w:lang w:val="en-US"/>
        </w:rPr>
        <w:t>.</w:t>
      </w:r>
      <w:r w:rsidR="00416307">
        <w:rPr>
          <w:sz w:val="18"/>
          <w:szCs w:val="18"/>
          <w:lang w:val="en-US"/>
        </w:rPr>
        <w:t xml:space="preserve"> The total growth in the population aged 75+ of 5,476 is divided by 1.19, meaning that the forecast growth in households aged 75+ is therefore 4,594.</w:t>
      </w:r>
    </w:p>
    <w:p w14:paraId="6180DBAA" w14:textId="53B2B44F" w:rsidR="00826421" w:rsidRPr="00826421" w:rsidRDefault="00826421" w:rsidP="00826421">
      <w:pPr>
        <w:keepNext/>
        <w:spacing w:after="120"/>
        <w:ind w:left="425"/>
        <w:jc w:val="both"/>
        <w:rPr>
          <w:rFonts w:asciiTheme="majorHAnsi" w:hAnsiTheme="majorHAnsi"/>
          <w:b/>
          <w:bCs/>
          <w:color w:val="00B5E2" w:themeColor="accent1"/>
          <w:sz w:val="18"/>
          <w:szCs w:val="18"/>
        </w:rPr>
      </w:pPr>
      <w:bookmarkStart w:id="200" w:name="_Ref7876377"/>
      <w:r w:rsidRPr="00826421">
        <w:rPr>
          <w:rFonts w:asciiTheme="majorHAnsi" w:hAnsiTheme="majorHAnsi"/>
          <w:b/>
          <w:bCs/>
          <w:color w:val="00B5E2" w:themeColor="accent1"/>
          <w:sz w:val="18"/>
          <w:szCs w:val="18"/>
        </w:rPr>
        <w:t xml:space="preserve">Table </w:t>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STYLEREF 1 \s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6</w:t>
      </w:r>
      <w:r w:rsidR="00BA4C32">
        <w:rPr>
          <w:rFonts w:asciiTheme="majorHAnsi" w:hAnsiTheme="majorHAnsi"/>
          <w:b/>
          <w:bCs/>
          <w:color w:val="00B5E2" w:themeColor="accent1"/>
          <w:sz w:val="18"/>
          <w:szCs w:val="18"/>
        </w:rPr>
        <w:fldChar w:fldCharType="end"/>
      </w:r>
      <w:r w:rsidR="00BA4C32">
        <w:rPr>
          <w:rFonts w:asciiTheme="majorHAnsi" w:hAnsiTheme="majorHAnsi"/>
          <w:b/>
          <w:bCs/>
          <w:color w:val="00B5E2" w:themeColor="accent1"/>
          <w:sz w:val="18"/>
          <w:szCs w:val="18"/>
        </w:rPr>
        <w:noBreakHyphen/>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SEQ Table \* ARABIC \s 1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4</w:t>
      </w:r>
      <w:r w:rsidR="00BA4C32">
        <w:rPr>
          <w:rFonts w:asciiTheme="majorHAnsi" w:hAnsiTheme="majorHAnsi"/>
          <w:b/>
          <w:bCs/>
          <w:color w:val="00B5E2" w:themeColor="accent1"/>
          <w:sz w:val="18"/>
          <w:szCs w:val="18"/>
        </w:rPr>
        <w:fldChar w:fldCharType="end"/>
      </w:r>
      <w:bookmarkEnd w:id="200"/>
      <w:r w:rsidRPr="00826421">
        <w:rPr>
          <w:rFonts w:asciiTheme="majorHAnsi" w:hAnsiTheme="majorHAnsi"/>
          <w:b/>
          <w:bCs/>
          <w:color w:val="00B5E2" w:themeColor="accent1"/>
          <w:sz w:val="18"/>
          <w:szCs w:val="18"/>
        </w:rPr>
        <w:t xml:space="preserve">: Projected tenure of </w:t>
      </w:r>
      <w:r w:rsidR="009E5856">
        <w:rPr>
          <w:rFonts w:asciiTheme="majorHAnsi" w:hAnsiTheme="majorHAnsi"/>
          <w:b/>
          <w:bCs/>
          <w:color w:val="00B5E2" w:themeColor="accent1"/>
          <w:sz w:val="18"/>
          <w:szCs w:val="18"/>
        </w:rPr>
        <w:t xml:space="preserve">households </w:t>
      </w:r>
      <w:r w:rsidRPr="00826421">
        <w:rPr>
          <w:rFonts w:asciiTheme="majorHAnsi" w:hAnsiTheme="majorHAnsi"/>
          <w:b/>
          <w:bCs/>
          <w:color w:val="00B5E2" w:themeColor="accent1"/>
          <w:sz w:val="18"/>
          <w:szCs w:val="18"/>
        </w:rPr>
        <w:t xml:space="preserve">aged 75+ in </w:t>
      </w:r>
      <w:r w:rsidR="0015105E">
        <w:rPr>
          <w:rFonts w:asciiTheme="majorHAnsi" w:hAnsiTheme="majorHAnsi"/>
          <w:b/>
          <w:bCs/>
          <w:color w:val="00B5E2" w:themeColor="accent1"/>
          <w:sz w:val="18"/>
          <w:szCs w:val="18"/>
        </w:rPr>
        <w:t>Weymouth</w:t>
      </w:r>
      <w:r w:rsidRPr="00826421">
        <w:rPr>
          <w:rFonts w:asciiTheme="majorHAnsi" w:hAnsiTheme="majorHAnsi"/>
          <w:b/>
          <w:bCs/>
          <w:color w:val="00B5E2" w:themeColor="accent1"/>
          <w:sz w:val="18"/>
          <w:szCs w:val="18"/>
        </w:rPr>
        <w:t xml:space="preserve"> to the end of the Plan period</w:t>
      </w:r>
    </w:p>
    <w:tbl>
      <w:tblPr>
        <w:tblW w:w="476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338"/>
        <w:gridCol w:w="1338"/>
        <w:gridCol w:w="1338"/>
        <w:gridCol w:w="1338"/>
        <w:gridCol w:w="1338"/>
        <w:gridCol w:w="1338"/>
      </w:tblGrid>
      <w:tr w:rsidR="00826421" w:rsidRPr="00826421" w14:paraId="0B6797E3" w14:textId="77777777" w:rsidTr="00832DE0">
        <w:trPr>
          <w:trHeight w:val="659"/>
        </w:trPr>
        <w:tc>
          <w:tcPr>
            <w:tcW w:w="714" w:type="pct"/>
            <w:tcBorders>
              <w:bottom w:val="single" w:sz="4" w:space="0" w:color="auto"/>
            </w:tcBorders>
            <w:shd w:val="clear" w:color="auto" w:fill="000000" w:themeFill="text1"/>
            <w:vAlign w:val="center"/>
            <w:hideMark/>
          </w:tcPr>
          <w:p w14:paraId="2777F04F" w14:textId="77777777" w:rsidR="00826421" w:rsidRPr="00826421" w:rsidRDefault="00826421" w:rsidP="00826421">
            <w:pPr>
              <w:spacing w:line="240" w:lineRule="auto"/>
              <w:jc w:val="both"/>
              <w:rPr>
                <w:b/>
                <w:color w:val="FFFFFF" w:themeColor="background1"/>
                <w:sz w:val="18"/>
                <w:szCs w:val="18"/>
              </w:rPr>
            </w:pPr>
            <w:r w:rsidRPr="00826421">
              <w:rPr>
                <w:b/>
                <w:color w:val="FFFFFF" w:themeColor="background1"/>
                <w:sz w:val="18"/>
                <w:szCs w:val="18"/>
              </w:rPr>
              <w:t>Owned</w:t>
            </w:r>
          </w:p>
        </w:tc>
        <w:tc>
          <w:tcPr>
            <w:tcW w:w="714" w:type="pct"/>
            <w:tcBorders>
              <w:bottom w:val="single" w:sz="4" w:space="0" w:color="auto"/>
            </w:tcBorders>
            <w:shd w:val="clear" w:color="auto" w:fill="000000" w:themeFill="text1"/>
            <w:vAlign w:val="center"/>
            <w:hideMark/>
          </w:tcPr>
          <w:p w14:paraId="3F4AE196" w14:textId="77777777" w:rsidR="00826421" w:rsidRPr="00826421" w:rsidRDefault="00826421" w:rsidP="00826421">
            <w:pPr>
              <w:spacing w:line="240" w:lineRule="auto"/>
              <w:jc w:val="both"/>
              <w:rPr>
                <w:b/>
                <w:color w:val="FFFFFF" w:themeColor="background1"/>
                <w:sz w:val="18"/>
                <w:szCs w:val="18"/>
              </w:rPr>
            </w:pPr>
            <w:r w:rsidRPr="00826421">
              <w:rPr>
                <w:b/>
                <w:color w:val="FFFFFF" w:themeColor="background1"/>
                <w:sz w:val="18"/>
                <w:szCs w:val="18"/>
              </w:rPr>
              <w:t>Owned outright</w:t>
            </w:r>
          </w:p>
        </w:tc>
        <w:tc>
          <w:tcPr>
            <w:tcW w:w="714" w:type="pct"/>
            <w:tcBorders>
              <w:bottom w:val="single" w:sz="4" w:space="0" w:color="auto"/>
            </w:tcBorders>
            <w:shd w:val="clear" w:color="auto" w:fill="000000" w:themeFill="text1"/>
            <w:vAlign w:val="center"/>
            <w:hideMark/>
          </w:tcPr>
          <w:p w14:paraId="36BD1DFF" w14:textId="77777777" w:rsidR="00826421" w:rsidRPr="00826421" w:rsidRDefault="00826421" w:rsidP="008B066F">
            <w:pPr>
              <w:spacing w:line="240" w:lineRule="auto"/>
              <w:rPr>
                <w:b/>
                <w:color w:val="FFFFFF" w:themeColor="background1"/>
                <w:sz w:val="18"/>
                <w:szCs w:val="18"/>
              </w:rPr>
            </w:pPr>
            <w:r w:rsidRPr="00826421">
              <w:rPr>
                <w:b/>
                <w:color w:val="FFFFFF" w:themeColor="background1"/>
                <w:sz w:val="18"/>
                <w:szCs w:val="18"/>
              </w:rPr>
              <w:t>Owned with a mortgage or loan or shared ownership</w:t>
            </w:r>
          </w:p>
        </w:tc>
        <w:tc>
          <w:tcPr>
            <w:tcW w:w="714" w:type="pct"/>
            <w:tcBorders>
              <w:bottom w:val="single" w:sz="4" w:space="0" w:color="auto"/>
            </w:tcBorders>
            <w:shd w:val="clear" w:color="auto" w:fill="000000" w:themeFill="text1"/>
            <w:vAlign w:val="center"/>
            <w:hideMark/>
          </w:tcPr>
          <w:p w14:paraId="103485B3" w14:textId="77777777" w:rsidR="00826421" w:rsidRPr="00826421" w:rsidRDefault="00826421" w:rsidP="00826421">
            <w:pPr>
              <w:spacing w:line="240" w:lineRule="auto"/>
              <w:jc w:val="both"/>
              <w:rPr>
                <w:b/>
                <w:color w:val="FFFFFF" w:themeColor="background1"/>
                <w:sz w:val="18"/>
                <w:szCs w:val="18"/>
              </w:rPr>
            </w:pPr>
            <w:r w:rsidRPr="00826421">
              <w:rPr>
                <w:b/>
                <w:color w:val="FFFFFF" w:themeColor="background1"/>
                <w:sz w:val="18"/>
                <w:szCs w:val="18"/>
              </w:rPr>
              <w:t>All rented</w:t>
            </w:r>
          </w:p>
        </w:tc>
        <w:tc>
          <w:tcPr>
            <w:tcW w:w="714" w:type="pct"/>
            <w:tcBorders>
              <w:bottom w:val="single" w:sz="4" w:space="0" w:color="auto"/>
            </w:tcBorders>
            <w:shd w:val="clear" w:color="auto" w:fill="000000" w:themeFill="text1"/>
            <w:vAlign w:val="center"/>
          </w:tcPr>
          <w:p w14:paraId="49F9D122" w14:textId="77777777" w:rsidR="00826421" w:rsidRPr="00826421" w:rsidRDefault="00826421" w:rsidP="00826421">
            <w:pPr>
              <w:spacing w:line="240" w:lineRule="auto"/>
              <w:jc w:val="both"/>
              <w:rPr>
                <w:b/>
                <w:color w:val="FFFFFF" w:themeColor="background1"/>
                <w:sz w:val="18"/>
                <w:szCs w:val="18"/>
              </w:rPr>
            </w:pPr>
            <w:r w:rsidRPr="00826421">
              <w:rPr>
                <w:b/>
                <w:color w:val="FFFFFF" w:themeColor="background1"/>
                <w:sz w:val="18"/>
                <w:szCs w:val="18"/>
              </w:rPr>
              <w:t>Social rented</w:t>
            </w:r>
          </w:p>
        </w:tc>
        <w:tc>
          <w:tcPr>
            <w:tcW w:w="714" w:type="pct"/>
            <w:tcBorders>
              <w:bottom w:val="single" w:sz="4" w:space="0" w:color="auto"/>
            </w:tcBorders>
            <w:shd w:val="clear" w:color="auto" w:fill="000000" w:themeFill="text1"/>
            <w:vAlign w:val="center"/>
            <w:hideMark/>
          </w:tcPr>
          <w:p w14:paraId="0FD8EC88" w14:textId="77777777" w:rsidR="00826421" w:rsidRPr="00826421" w:rsidRDefault="00826421" w:rsidP="00826421">
            <w:pPr>
              <w:spacing w:line="240" w:lineRule="auto"/>
              <w:jc w:val="both"/>
              <w:rPr>
                <w:b/>
                <w:color w:val="FFFFFF" w:themeColor="background1"/>
                <w:sz w:val="18"/>
                <w:szCs w:val="18"/>
              </w:rPr>
            </w:pPr>
            <w:r w:rsidRPr="00826421">
              <w:rPr>
                <w:b/>
                <w:color w:val="FFFFFF" w:themeColor="background1"/>
                <w:sz w:val="18"/>
                <w:szCs w:val="18"/>
              </w:rPr>
              <w:t>Private rented</w:t>
            </w:r>
          </w:p>
        </w:tc>
        <w:tc>
          <w:tcPr>
            <w:tcW w:w="714" w:type="pct"/>
            <w:tcBorders>
              <w:bottom w:val="single" w:sz="4" w:space="0" w:color="auto"/>
            </w:tcBorders>
            <w:shd w:val="clear" w:color="auto" w:fill="000000" w:themeFill="text1"/>
            <w:vAlign w:val="center"/>
            <w:hideMark/>
          </w:tcPr>
          <w:p w14:paraId="0FF6D575" w14:textId="77777777" w:rsidR="00826421" w:rsidRPr="00826421" w:rsidRDefault="00826421" w:rsidP="00826421">
            <w:pPr>
              <w:spacing w:line="240" w:lineRule="auto"/>
              <w:jc w:val="both"/>
              <w:rPr>
                <w:b/>
                <w:color w:val="FFFFFF" w:themeColor="background1"/>
                <w:sz w:val="18"/>
                <w:szCs w:val="18"/>
              </w:rPr>
            </w:pPr>
            <w:r w:rsidRPr="00826421">
              <w:rPr>
                <w:b/>
                <w:color w:val="FFFFFF" w:themeColor="background1"/>
                <w:sz w:val="18"/>
                <w:szCs w:val="18"/>
              </w:rPr>
              <w:t>Living rent free</w:t>
            </w:r>
          </w:p>
        </w:tc>
      </w:tr>
      <w:tr w:rsidR="008504FB" w:rsidRPr="00826421" w14:paraId="09B0B454" w14:textId="77777777" w:rsidTr="00832DE0">
        <w:trPr>
          <w:trHeight w:val="349"/>
        </w:trPr>
        <w:tc>
          <w:tcPr>
            <w:tcW w:w="714" w:type="pct"/>
            <w:tcBorders>
              <w:bottom w:val="single" w:sz="4" w:space="0" w:color="auto"/>
            </w:tcBorders>
            <w:shd w:val="clear" w:color="auto" w:fill="auto"/>
            <w:noWrap/>
            <w:vAlign w:val="center"/>
          </w:tcPr>
          <w:p w14:paraId="203AA3A7" w14:textId="72FAE48F" w:rsidR="008504FB" w:rsidRPr="00832DE0" w:rsidRDefault="00416307" w:rsidP="008504FB">
            <w:pPr>
              <w:spacing w:line="240" w:lineRule="auto"/>
              <w:jc w:val="both"/>
              <w:rPr>
                <w:sz w:val="18"/>
                <w:szCs w:val="18"/>
              </w:rPr>
            </w:pPr>
            <w:r>
              <w:rPr>
                <w:sz w:val="18"/>
                <w:szCs w:val="18"/>
              </w:rPr>
              <w:t>3,877</w:t>
            </w:r>
          </w:p>
        </w:tc>
        <w:tc>
          <w:tcPr>
            <w:tcW w:w="714" w:type="pct"/>
            <w:tcBorders>
              <w:bottom w:val="single" w:sz="4" w:space="0" w:color="auto"/>
            </w:tcBorders>
            <w:shd w:val="clear" w:color="auto" w:fill="auto"/>
            <w:noWrap/>
            <w:vAlign w:val="center"/>
          </w:tcPr>
          <w:p w14:paraId="04A4FC63" w14:textId="1E1F3CD6" w:rsidR="008504FB" w:rsidRPr="008504FB" w:rsidRDefault="00416307" w:rsidP="008504FB">
            <w:pPr>
              <w:spacing w:line="240" w:lineRule="auto"/>
              <w:jc w:val="both"/>
              <w:rPr>
                <w:sz w:val="18"/>
                <w:szCs w:val="18"/>
              </w:rPr>
            </w:pPr>
            <w:r>
              <w:rPr>
                <w:sz w:val="18"/>
                <w:szCs w:val="18"/>
              </w:rPr>
              <w:t>2,759</w:t>
            </w:r>
          </w:p>
        </w:tc>
        <w:tc>
          <w:tcPr>
            <w:tcW w:w="714" w:type="pct"/>
            <w:tcBorders>
              <w:bottom w:val="single" w:sz="4" w:space="0" w:color="auto"/>
            </w:tcBorders>
            <w:shd w:val="clear" w:color="auto" w:fill="auto"/>
            <w:noWrap/>
            <w:vAlign w:val="center"/>
          </w:tcPr>
          <w:p w14:paraId="487316B7" w14:textId="2F6D8D06" w:rsidR="008504FB" w:rsidRPr="008504FB" w:rsidRDefault="00416307" w:rsidP="008504FB">
            <w:pPr>
              <w:spacing w:line="240" w:lineRule="auto"/>
              <w:jc w:val="both"/>
              <w:rPr>
                <w:sz w:val="18"/>
                <w:szCs w:val="18"/>
              </w:rPr>
            </w:pPr>
            <w:r>
              <w:rPr>
                <w:sz w:val="18"/>
                <w:szCs w:val="18"/>
              </w:rPr>
              <w:t>1,117</w:t>
            </w:r>
          </w:p>
        </w:tc>
        <w:tc>
          <w:tcPr>
            <w:tcW w:w="714" w:type="pct"/>
            <w:tcBorders>
              <w:bottom w:val="single" w:sz="4" w:space="0" w:color="auto"/>
            </w:tcBorders>
            <w:shd w:val="clear" w:color="auto" w:fill="auto"/>
            <w:noWrap/>
            <w:vAlign w:val="center"/>
          </w:tcPr>
          <w:p w14:paraId="023B3F87" w14:textId="18C7EA43" w:rsidR="008504FB" w:rsidRPr="00832DE0" w:rsidRDefault="00416307" w:rsidP="008504FB">
            <w:pPr>
              <w:spacing w:line="240" w:lineRule="auto"/>
              <w:jc w:val="both"/>
              <w:rPr>
                <w:sz w:val="18"/>
                <w:szCs w:val="18"/>
              </w:rPr>
            </w:pPr>
            <w:r>
              <w:rPr>
                <w:sz w:val="18"/>
                <w:szCs w:val="18"/>
              </w:rPr>
              <w:t>717</w:t>
            </w:r>
          </w:p>
        </w:tc>
        <w:tc>
          <w:tcPr>
            <w:tcW w:w="714" w:type="pct"/>
            <w:tcBorders>
              <w:bottom w:val="single" w:sz="4" w:space="0" w:color="auto"/>
            </w:tcBorders>
            <w:shd w:val="clear" w:color="auto" w:fill="auto"/>
            <w:vAlign w:val="center"/>
          </w:tcPr>
          <w:p w14:paraId="3600D7BD" w14:textId="4872BFF7" w:rsidR="008504FB" w:rsidRPr="008504FB" w:rsidRDefault="00416307" w:rsidP="008504FB">
            <w:pPr>
              <w:spacing w:line="240" w:lineRule="auto"/>
              <w:jc w:val="both"/>
              <w:rPr>
                <w:sz w:val="18"/>
                <w:szCs w:val="18"/>
              </w:rPr>
            </w:pPr>
            <w:r>
              <w:rPr>
                <w:sz w:val="18"/>
                <w:szCs w:val="18"/>
              </w:rPr>
              <w:t>543</w:t>
            </w:r>
          </w:p>
        </w:tc>
        <w:tc>
          <w:tcPr>
            <w:tcW w:w="714" w:type="pct"/>
            <w:tcBorders>
              <w:bottom w:val="single" w:sz="4" w:space="0" w:color="auto"/>
            </w:tcBorders>
            <w:shd w:val="clear" w:color="auto" w:fill="auto"/>
            <w:noWrap/>
            <w:vAlign w:val="center"/>
          </w:tcPr>
          <w:p w14:paraId="59614241" w14:textId="753B4656" w:rsidR="008504FB" w:rsidRPr="008504FB" w:rsidRDefault="00416307" w:rsidP="008504FB">
            <w:pPr>
              <w:spacing w:line="240" w:lineRule="auto"/>
              <w:jc w:val="both"/>
              <w:rPr>
                <w:sz w:val="18"/>
                <w:szCs w:val="18"/>
              </w:rPr>
            </w:pPr>
            <w:r>
              <w:rPr>
                <w:sz w:val="18"/>
                <w:szCs w:val="18"/>
              </w:rPr>
              <w:t>167</w:t>
            </w:r>
          </w:p>
        </w:tc>
        <w:tc>
          <w:tcPr>
            <w:tcW w:w="714" w:type="pct"/>
            <w:tcBorders>
              <w:bottom w:val="single" w:sz="4" w:space="0" w:color="auto"/>
            </w:tcBorders>
            <w:shd w:val="clear" w:color="auto" w:fill="auto"/>
            <w:noWrap/>
            <w:vAlign w:val="center"/>
          </w:tcPr>
          <w:p w14:paraId="0337AB3B" w14:textId="7E0648C0" w:rsidR="008504FB" w:rsidRPr="008504FB" w:rsidRDefault="00416307" w:rsidP="008504FB">
            <w:pPr>
              <w:spacing w:line="240" w:lineRule="auto"/>
              <w:jc w:val="both"/>
              <w:rPr>
                <w:sz w:val="18"/>
                <w:szCs w:val="18"/>
              </w:rPr>
            </w:pPr>
            <w:r>
              <w:rPr>
                <w:sz w:val="18"/>
                <w:szCs w:val="18"/>
              </w:rPr>
              <w:t>8</w:t>
            </w:r>
          </w:p>
        </w:tc>
      </w:tr>
    </w:tbl>
    <w:p w14:paraId="5B02AF57" w14:textId="4BA4CB87" w:rsidR="00826421" w:rsidRPr="00826421" w:rsidRDefault="00826421" w:rsidP="007A4C02">
      <w:pPr>
        <w:pStyle w:val="Source"/>
      </w:pPr>
      <w:r w:rsidRPr="00826421">
        <w:t>Source: Census 2011, ONS SNPP 201</w:t>
      </w:r>
      <w:r w:rsidR="004355EC">
        <w:t>8</w:t>
      </w:r>
      <w:r w:rsidRPr="00826421">
        <w:t>, AECOM Calculations</w:t>
      </w:r>
    </w:p>
    <w:p w14:paraId="110D8F9D" w14:textId="690731CF" w:rsidR="00826421" w:rsidRPr="00826421" w:rsidRDefault="00826421" w:rsidP="00826421">
      <w:pPr>
        <w:numPr>
          <w:ilvl w:val="0"/>
          <w:numId w:val="15"/>
        </w:numPr>
        <w:spacing w:before="0" w:after="120"/>
        <w:jc w:val="both"/>
        <w:rPr>
          <w:color w:val="000000" w:themeColor="text1"/>
          <w:sz w:val="18"/>
          <w:szCs w:val="18"/>
          <w:lang w:val="en-US"/>
        </w:rPr>
      </w:pPr>
      <w:r w:rsidRPr="00826421">
        <w:rPr>
          <w:color w:val="000000" w:themeColor="text1"/>
          <w:sz w:val="18"/>
          <w:szCs w:val="18"/>
          <w:lang w:val="en-US"/>
        </w:rPr>
        <w:t>Next</w:t>
      </w:r>
      <w:r w:rsidR="006D592C">
        <w:rPr>
          <w:color w:val="000000" w:themeColor="text1"/>
          <w:sz w:val="18"/>
          <w:szCs w:val="18"/>
          <w:lang w:val="en-US"/>
        </w:rPr>
        <w:t>,</w:t>
      </w:r>
      <w:r w:rsidRPr="00826421">
        <w:rPr>
          <w:color w:val="000000" w:themeColor="text1"/>
          <w:sz w:val="18"/>
          <w:szCs w:val="18"/>
          <w:lang w:val="en-US"/>
        </w:rPr>
        <w:t xml:space="preserve"> the incidence of mobility limitations</w:t>
      </w:r>
      <w:r w:rsidR="0018531C">
        <w:rPr>
          <w:color w:val="000000" w:themeColor="text1"/>
          <w:sz w:val="18"/>
          <w:szCs w:val="18"/>
          <w:lang w:val="en-US"/>
        </w:rPr>
        <w:t xml:space="preserve"> is considered</w:t>
      </w:r>
      <w:r w:rsidRPr="00826421">
        <w:rPr>
          <w:color w:val="000000" w:themeColor="text1"/>
          <w:sz w:val="18"/>
          <w:szCs w:val="18"/>
          <w:lang w:val="en-US"/>
        </w:rPr>
        <w:t xml:space="preserve">, as defined by the Census, within each tenure group for those aged 65+ in </w:t>
      </w:r>
      <w:r w:rsidR="0015105E">
        <w:rPr>
          <w:color w:val="000000" w:themeColor="text1"/>
          <w:sz w:val="18"/>
          <w:szCs w:val="18"/>
          <w:lang w:val="en-US"/>
        </w:rPr>
        <w:t>Weymouth</w:t>
      </w:r>
      <w:r w:rsidRPr="00826421">
        <w:rPr>
          <w:color w:val="000000" w:themeColor="text1"/>
          <w:sz w:val="18"/>
          <w:szCs w:val="18"/>
          <w:lang w:val="en-US"/>
        </w:rPr>
        <w:t xml:space="preserve">. This allows us to link the levels of need (as defined by extent of mobility limitations within the population) to tenure (based on the premise that such needs can be used as a proxy for the need for specialist housing in this age group). </w:t>
      </w:r>
    </w:p>
    <w:p w14:paraId="46EAEE0E" w14:textId="42CD4F9B" w:rsidR="00B6164D" w:rsidRPr="009E5856" w:rsidRDefault="00826421">
      <w:pPr>
        <w:numPr>
          <w:ilvl w:val="0"/>
          <w:numId w:val="15"/>
        </w:numPr>
        <w:spacing w:before="0" w:after="120"/>
        <w:jc w:val="both"/>
        <w:rPr>
          <w:color w:val="000000" w:themeColor="text1"/>
          <w:sz w:val="18"/>
          <w:szCs w:val="18"/>
          <w:lang w:val="en-US"/>
        </w:rPr>
      </w:pPr>
      <w:r w:rsidRPr="00826421">
        <w:rPr>
          <w:color w:val="000000" w:themeColor="text1"/>
          <w:sz w:val="18"/>
          <w:szCs w:val="18"/>
          <w:lang w:val="en-US"/>
        </w:rPr>
        <w:t>The tendency for people in rented housing to have higher dependency levels is well established. It arises partly because people with higher dependency levels tend to have lower incomes; they are therefore less able to afford to buy, even at earlier stages in their lives.</w:t>
      </w:r>
      <w:r w:rsidR="0018531C">
        <w:rPr>
          <w:color w:val="000000" w:themeColor="text1"/>
          <w:sz w:val="18"/>
          <w:szCs w:val="18"/>
          <w:lang w:val="en-US"/>
        </w:rPr>
        <w:t xml:space="preserve"> It also reflects the fact that as people develop support and care needs they may find that the only suitable and affordable option to them is available in the social rented sector. </w:t>
      </w:r>
    </w:p>
    <w:p w14:paraId="7187D074" w14:textId="40D13FCE" w:rsidR="00826421" w:rsidRPr="00826421" w:rsidRDefault="00826421" w:rsidP="00826421">
      <w:pPr>
        <w:keepNext/>
        <w:spacing w:after="120"/>
        <w:ind w:left="425"/>
        <w:jc w:val="both"/>
        <w:rPr>
          <w:rFonts w:asciiTheme="majorHAnsi" w:hAnsiTheme="majorHAnsi"/>
          <w:b/>
          <w:bCs/>
          <w:i/>
          <w:color w:val="00B5E2" w:themeColor="accent1"/>
          <w:sz w:val="18"/>
          <w:szCs w:val="18"/>
        </w:rPr>
      </w:pPr>
      <w:r w:rsidRPr="00826421">
        <w:rPr>
          <w:rFonts w:asciiTheme="majorHAnsi" w:hAnsiTheme="majorHAnsi"/>
          <w:b/>
          <w:bCs/>
          <w:color w:val="00B5E2" w:themeColor="accent1"/>
          <w:sz w:val="18"/>
          <w:szCs w:val="18"/>
        </w:rPr>
        <w:t xml:space="preserve">Table </w:t>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STYLEREF 1 \s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6</w:t>
      </w:r>
      <w:r w:rsidR="00BA4C32">
        <w:rPr>
          <w:rFonts w:asciiTheme="majorHAnsi" w:hAnsiTheme="majorHAnsi"/>
          <w:b/>
          <w:bCs/>
          <w:color w:val="00B5E2" w:themeColor="accent1"/>
          <w:sz w:val="18"/>
          <w:szCs w:val="18"/>
        </w:rPr>
        <w:fldChar w:fldCharType="end"/>
      </w:r>
      <w:r w:rsidR="00BA4C32">
        <w:rPr>
          <w:rFonts w:asciiTheme="majorHAnsi" w:hAnsiTheme="majorHAnsi"/>
          <w:b/>
          <w:bCs/>
          <w:color w:val="00B5E2" w:themeColor="accent1"/>
          <w:sz w:val="18"/>
          <w:szCs w:val="18"/>
        </w:rPr>
        <w:noBreakHyphen/>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SEQ Table \* ARABIC \s 1 </w:instrText>
      </w:r>
      <w:r w:rsidR="00BA4C32">
        <w:rPr>
          <w:rFonts w:asciiTheme="majorHAnsi" w:hAnsiTheme="majorHAnsi"/>
          <w:b/>
          <w:bCs/>
          <w:color w:val="00B5E2" w:themeColor="accent1"/>
          <w:sz w:val="18"/>
          <w:szCs w:val="18"/>
        </w:rPr>
        <w:fldChar w:fldCharType="separate"/>
      </w:r>
      <w:r w:rsidR="000C64A4">
        <w:rPr>
          <w:rFonts w:asciiTheme="majorHAnsi" w:hAnsiTheme="majorHAnsi"/>
          <w:b/>
          <w:bCs/>
          <w:noProof/>
          <w:color w:val="00B5E2" w:themeColor="accent1"/>
          <w:sz w:val="18"/>
          <w:szCs w:val="18"/>
        </w:rPr>
        <w:t>5</w:t>
      </w:r>
      <w:r w:rsidR="00BA4C32">
        <w:rPr>
          <w:rFonts w:asciiTheme="majorHAnsi" w:hAnsiTheme="majorHAnsi"/>
          <w:b/>
          <w:bCs/>
          <w:color w:val="00B5E2" w:themeColor="accent1"/>
          <w:sz w:val="18"/>
          <w:szCs w:val="18"/>
        </w:rPr>
        <w:fldChar w:fldCharType="end"/>
      </w:r>
      <w:r w:rsidRPr="00826421">
        <w:rPr>
          <w:rFonts w:asciiTheme="majorHAnsi" w:hAnsiTheme="majorHAnsi"/>
          <w:b/>
          <w:bCs/>
          <w:color w:val="00B5E2" w:themeColor="accent1"/>
          <w:sz w:val="18"/>
          <w:szCs w:val="18"/>
        </w:rPr>
        <w:t xml:space="preserve">: Tenure and mobility limitations of those aged 65+ in </w:t>
      </w:r>
      <w:r w:rsidR="0015105E">
        <w:rPr>
          <w:rFonts w:asciiTheme="majorHAnsi" w:hAnsiTheme="majorHAnsi"/>
          <w:b/>
          <w:bCs/>
          <w:color w:val="00B5E2" w:themeColor="accent1"/>
          <w:sz w:val="18"/>
          <w:szCs w:val="18"/>
        </w:rPr>
        <w:t>Weymouth</w:t>
      </w:r>
      <w:r w:rsidRPr="00826421">
        <w:rPr>
          <w:rFonts w:asciiTheme="majorHAnsi" w:hAnsiTheme="majorHAnsi"/>
          <w:b/>
          <w:bCs/>
          <w:color w:val="00B5E2" w:themeColor="accent1"/>
          <w:sz w:val="18"/>
          <w:szCs w:val="18"/>
        </w:rPr>
        <w:t>, 2011</w:t>
      </w:r>
    </w:p>
    <w:tbl>
      <w:tblPr>
        <w:tblW w:w="482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62"/>
        <w:gridCol w:w="992"/>
        <w:gridCol w:w="994"/>
        <w:gridCol w:w="990"/>
        <w:gridCol w:w="994"/>
        <w:gridCol w:w="992"/>
        <w:gridCol w:w="977"/>
      </w:tblGrid>
      <w:tr w:rsidR="00826421" w:rsidRPr="00826421" w14:paraId="28418D0E" w14:textId="77777777" w:rsidTr="00947A30">
        <w:trPr>
          <w:trHeight w:val="414"/>
        </w:trPr>
        <w:tc>
          <w:tcPr>
            <w:tcW w:w="1046" w:type="pct"/>
            <w:shd w:val="clear" w:color="auto" w:fill="000000" w:themeFill="text1"/>
            <w:vAlign w:val="center"/>
          </w:tcPr>
          <w:p w14:paraId="0254EE3A" w14:textId="77777777" w:rsidR="00826421" w:rsidRPr="00826421" w:rsidRDefault="00826421" w:rsidP="00826421">
            <w:pPr>
              <w:jc w:val="both"/>
              <w:rPr>
                <w:b/>
                <w:color w:val="FFFFFF" w:themeColor="background1"/>
                <w:sz w:val="18"/>
                <w:szCs w:val="18"/>
              </w:rPr>
            </w:pPr>
            <w:r w:rsidRPr="00826421">
              <w:rPr>
                <w:b/>
                <w:color w:val="FFFFFF" w:themeColor="background1"/>
                <w:sz w:val="18"/>
                <w:szCs w:val="18"/>
              </w:rPr>
              <w:t>Tenure</w:t>
            </w:r>
          </w:p>
        </w:tc>
        <w:tc>
          <w:tcPr>
            <w:tcW w:w="823" w:type="pct"/>
            <w:shd w:val="clear" w:color="auto" w:fill="000000" w:themeFill="text1"/>
            <w:vAlign w:val="center"/>
          </w:tcPr>
          <w:p w14:paraId="0F43D2C2" w14:textId="77777777" w:rsidR="00826421" w:rsidRPr="00826421" w:rsidRDefault="00826421" w:rsidP="00826421">
            <w:pPr>
              <w:rPr>
                <w:b/>
                <w:color w:val="FFFFFF" w:themeColor="background1"/>
                <w:sz w:val="18"/>
                <w:szCs w:val="18"/>
              </w:rPr>
            </w:pPr>
            <w:r w:rsidRPr="00826421">
              <w:rPr>
                <w:b/>
                <w:color w:val="FFFFFF" w:themeColor="background1"/>
                <w:sz w:val="18"/>
                <w:szCs w:val="18"/>
              </w:rPr>
              <w:t>All categories: Long-term health problem or disability</w:t>
            </w:r>
          </w:p>
        </w:tc>
        <w:tc>
          <w:tcPr>
            <w:tcW w:w="1047" w:type="pct"/>
            <w:gridSpan w:val="2"/>
            <w:shd w:val="clear" w:color="auto" w:fill="000000" w:themeFill="text1"/>
            <w:vAlign w:val="center"/>
          </w:tcPr>
          <w:p w14:paraId="37F90BFC" w14:textId="77777777" w:rsidR="00826421" w:rsidRPr="00826421" w:rsidRDefault="00826421" w:rsidP="00826421">
            <w:pPr>
              <w:rPr>
                <w:b/>
                <w:color w:val="FFFFFF" w:themeColor="background1"/>
                <w:sz w:val="18"/>
                <w:szCs w:val="18"/>
              </w:rPr>
            </w:pPr>
            <w:r w:rsidRPr="00826421">
              <w:rPr>
                <w:b/>
                <w:color w:val="FFFFFF" w:themeColor="background1"/>
                <w:sz w:val="18"/>
                <w:szCs w:val="18"/>
              </w:rPr>
              <w:t>Day-to-day activities limited a lot</w:t>
            </w:r>
          </w:p>
        </w:tc>
        <w:tc>
          <w:tcPr>
            <w:tcW w:w="1046" w:type="pct"/>
            <w:gridSpan w:val="2"/>
            <w:shd w:val="clear" w:color="auto" w:fill="000000" w:themeFill="text1"/>
            <w:vAlign w:val="center"/>
          </w:tcPr>
          <w:p w14:paraId="684D932B" w14:textId="77777777" w:rsidR="00826421" w:rsidRPr="00826421" w:rsidRDefault="00826421" w:rsidP="00826421">
            <w:pPr>
              <w:rPr>
                <w:b/>
                <w:color w:val="FFFFFF" w:themeColor="background1"/>
                <w:sz w:val="18"/>
                <w:szCs w:val="18"/>
              </w:rPr>
            </w:pPr>
            <w:r w:rsidRPr="00826421">
              <w:rPr>
                <w:b/>
                <w:color w:val="FFFFFF" w:themeColor="background1"/>
                <w:sz w:val="18"/>
                <w:szCs w:val="18"/>
              </w:rPr>
              <w:t>Day-to-day activities limited a little</w:t>
            </w:r>
          </w:p>
        </w:tc>
        <w:tc>
          <w:tcPr>
            <w:tcW w:w="1039" w:type="pct"/>
            <w:gridSpan w:val="2"/>
            <w:shd w:val="clear" w:color="auto" w:fill="000000" w:themeFill="text1"/>
            <w:vAlign w:val="center"/>
          </w:tcPr>
          <w:p w14:paraId="0313C38C" w14:textId="77777777" w:rsidR="00826421" w:rsidRPr="00826421" w:rsidRDefault="00826421" w:rsidP="00826421">
            <w:pPr>
              <w:rPr>
                <w:b/>
                <w:color w:val="FFFFFF" w:themeColor="background1"/>
                <w:sz w:val="18"/>
                <w:szCs w:val="18"/>
              </w:rPr>
            </w:pPr>
            <w:r w:rsidRPr="00826421">
              <w:rPr>
                <w:b/>
                <w:color w:val="FFFFFF" w:themeColor="background1"/>
                <w:sz w:val="18"/>
                <w:szCs w:val="18"/>
              </w:rPr>
              <w:t>Day-to-day activities not limited</w:t>
            </w:r>
          </w:p>
        </w:tc>
      </w:tr>
      <w:tr w:rsidR="006E76DE" w:rsidRPr="00826421" w14:paraId="0AC9E430" w14:textId="77777777" w:rsidTr="00947A30">
        <w:trPr>
          <w:trHeight w:val="480"/>
        </w:trPr>
        <w:tc>
          <w:tcPr>
            <w:tcW w:w="1046" w:type="pct"/>
            <w:shd w:val="clear" w:color="auto" w:fill="auto"/>
            <w:vAlign w:val="center"/>
            <w:hideMark/>
          </w:tcPr>
          <w:p w14:paraId="75CD1898" w14:textId="77777777" w:rsidR="00716F5E" w:rsidRPr="00826421" w:rsidRDefault="00716F5E" w:rsidP="00832DE0">
            <w:pPr>
              <w:rPr>
                <w:b/>
                <w:sz w:val="18"/>
                <w:szCs w:val="18"/>
              </w:rPr>
            </w:pPr>
            <w:r w:rsidRPr="00826421">
              <w:rPr>
                <w:b/>
                <w:sz w:val="18"/>
                <w:szCs w:val="18"/>
              </w:rPr>
              <w:t>All categories: Tenure</w:t>
            </w:r>
          </w:p>
        </w:tc>
        <w:tc>
          <w:tcPr>
            <w:tcW w:w="823" w:type="pct"/>
            <w:vAlign w:val="center"/>
          </w:tcPr>
          <w:p w14:paraId="58356D23" w14:textId="3F650D8F" w:rsidR="00716F5E" w:rsidRPr="00716F5E" w:rsidRDefault="00716F5E" w:rsidP="00716F5E">
            <w:pPr>
              <w:jc w:val="both"/>
              <w:rPr>
                <w:b/>
                <w:sz w:val="18"/>
                <w:szCs w:val="18"/>
              </w:rPr>
            </w:pPr>
            <w:r w:rsidRPr="00832DE0">
              <w:rPr>
                <w:b/>
                <w:bCs/>
                <w:sz w:val="18"/>
                <w:szCs w:val="18"/>
              </w:rPr>
              <w:t>11,041</w:t>
            </w:r>
          </w:p>
        </w:tc>
        <w:tc>
          <w:tcPr>
            <w:tcW w:w="523" w:type="pct"/>
            <w:vAlign w:val="center"/>
          </w:tcPr>
          <w:p w14:paraId="14A8C38A" w14:textId="0A2D80B9" w:rsidR="00716F5E" w:rsidRPr="00716F5E" w:rsidRDefault="00716F5E" w:rsidP="00716F5E">
            <w:pPr>
              <w:jc w:val="both"/>
              <w:rPr>
                <w:b/>
                <w:sz w:val="18"/>
                <w:szCs w:val="18"/>
              </w:rPr>
            </w:pPr>
            <w:r w:rsidRPr="00832DE0">
              <w:rPr>
                <w:b/>
                <w:bCs/>
                <w:sz w:val="18"/>
                <w:szCs w:val="18"/>
              </w:rPr>
              <w:t>2,497</w:t>
            </w:r>
          </w:p>
        </w:tc>
        <w:tc>
          <w:tcPr>
            <w:tcW w:w="524" w:type="pct"/>
            <w:vAlign w:val="center"/>
          </w:tcPr>
          <w:p w14:paraId="29624739" w14:textId="043D087C" w:rsidR="00716F5E" w:rsidRPr="00716F5E" w:rsidRDefault="00716F5E" w:rsidP="00716F5E">
            <w:pPr>
              <w:jc w:val="both"/>
              <w:rPr>
                <w:b/>
                <w:sz w:val="18"/>
                <w:szCs w:val="18"/>
              </w:rPr>
            </w:pPr>
            <w:r w:rsidRPr="00832DE0">
              <w:rPr>
                <w:b/>
                <w:bCs/>
                <w:sz w:val="18"/>
                <w:szCs w:val="18"/>
              </w:rPr>
              <w:t>22.6%</w:t>
            </w:r>
          </w:p>
        </w:tc>
        <w:tc>
          <w:tcPr>
            <w:tcW w:w="522" w:type="pct"/>
            <w:vAlign w:val="center"/>
          </w:tcPr>
          <w:p w14:paraId="3A531120" w14:textId="5997B70B" w:rsidR="00716F5E" w:rsidRPr="00716F5E" w:rsidRDefault="00716F5E" w:rsidP="00716F5E">
            <w:pPr>
              <w:jc w:val="both"/>
              <w:rPr>
                <w:b/>
                <w:sz w:val="18"/>
                <w:szCs w:val="18"/>
              </w:rPr>
            </w:pPr>
            <w:r w:rsidRPr="00832DE0">
              <w:rPr>
                <w:b/>
                <w:bCs/>
                <w:sz w:val="18"/>
                <w:szCs w:val="18"/>
              </w:rPr>
              <w:t>3,037</w:t>
            </w:r>
          </w:p>
        </w:tc>
        <w:tc>
          <w:tcPr>
            <w:tcW w:w="524" w:type="pct"/>
            <w:vAlign w:val="center"/>
          </w:tcPr>
          <w:p w14:paraId="1FC4D40A" w14:textId="7681D098" w:rsidR="00716F5E" w:rsidRPr="00716F5E" w:rsidRDefault="00716F5E" w:rsidP="00716F5E">
            <w:pPr>
              <w:jc w:val="both"/>
              <w:rPr>
                <w:b/>
                <w:sz w:val="18"/>
                <w:szCs w:val="18"/>
              </w:rPr>
            </w:pPr>
            <w:r w:rsidRPr="00832DE0">
              <w:rPr>
                <w:b/>
                <w:bCs/>
                <w:sz w:val="18"/>
                <w:szCs w:val="18"/>
              </w:rPr>
              <w:t>27.5%</w:t>
            </w:r>
          </w:p>
        </w:tc>
        <w:tc>
          <w:tcPr>
            <w:tcW w:w="523" w:type="pct"/>
            <w:vAlign w:val="center"/>
          </w:tcPr>
          <w:p w14:paraId="5D074E2F" w14:textId="338663E6" w:rsidR="00716F5E" w:rsidRPr="00716F5E" w:rsidRDefault="00716F5E" w:rsidP="00716F5E">
            <w:pPr>
              <w:jc w:val="both"/>
              <w:rPr>
                <w:b/>
                <w:sz w:val="18"/>
                <w:szCs w:val="18"/>
              </w:rPr>
            </w:pPr>
            <w:r w:rsidRPr="00832DE0">
              <w:rPr>
                <w:b/>
                <w:bCs/>
                <w:sz w:val="18"/>
                <w:szCs w:val="18"/>
              </w:rPr>
              <w:t>5,507</w:t>
            </w:r>
          </w:p>
        </w:tc>
        <w:tc>
          <w:tcPr>
            <w:tcW w:w="516" w:type="pct"/>
            <w:vAlign w:val="center"/>
          </w:tcPr>
          <w:p w14:paraId="7C4F5702" w14:textId="64F5845E" w:rsidR="00716F5E" w:rsidRPr="00716F5E" w:rsidRDefault="00716F5E" w:rsidP="00716F5E">
            <w:pPr>
              <w:jc w:val="both"/>
              <w:rPr>
                <w:b/>
                <w:sz w:val="18"/>
                <w:szCs w:val="18"/>
              </w:rPr>
            </w:pPr>
            <w:r w:rsidRPr="00832DE0">
              <w:rPr>
                <w:b/>
                <w:bCs/>
                <w:sz w:val="18"/>
                <w:szCs w:val="18"/>
              </w:rPr>
              <w:t>49.9%</w:t>
            </w:r>
          </w:p>
        </w:tc>
      </w:tr>
      <w:tr w:rsidR="006E76DE" w:rsidRPr="00826421" w14:paraId="5392DA10" w14:textId="77777777" w:rsidTr="00947A30">
        <w:trPr>
          <w:trHeight w:val="480"/>
        </w:trPr>
        <w:tc>
          <w:tcPr>
            <w:tcW w:w="1046" w:type="pct"/>
            <w:shd w:val="clear" w:color="auto" w:fill="auto"/>
            <w:vAlign w:val="center"/>
            <w:hideMark/>
          </w:tcPr>
          <w:p w14:paraId="7E43ADAC" w14:textId="77777777" w:rsidR="00716F5E" w:rsidRPr="00826421" w:rsidRDefault="00716F5E" w:rsidP="00832DE0">
            <w:pPr>
              <w:rPr>
                <w:b/>
                <w:i/>
                <w:sz w:val="18"/>
                <w:szCs w:val="18"/>
              </w:rPr>
            </w:pPr>
            <w:r w:rsidRPr="00826421">
              <w:rPr>
                <w:b/>
                <w:i/>
                <w:sz w:val="18"/>
                <w:szCs w:val="18"/>
              </w:rPr>
              <w:t>Owned or shared ownership: Total</w:t>
            </w:r>
          </w:p>
        </w:tc>
        <w:tc>
          <w:tcPr>
            <w:tcW w:w="823" w:type="pct"/>
            <w:vAlign w:val="center"/>
          </w:tcPr>
          <w:p w14:paraId="056A8E15" w14:textId="647E5E7D" w:rsidR="00716F5E" w:rsidRPr="00716F5E" w:rsidRDefault="00716F5E" w:rsidP="00716F5E">
            <w:pPr>
              <w:jc w:val="both"/>
              <w:rPr>
                <w:b/>
                <w:i/>
                <w:sz w:val="18"/>
                <w:szCs w:val="18"/>
              </w:rPr>
            </w:pPr>
            <w:r w:rsidRPr="00832DE0">
              <w:rPr>
                <w:b/>
                <w:bCs/>
                <w:sz w:val="18"/>
                <w:szCs w:val="18"/>
              </w:rPr>
              <w:t>9,173</w:t>
            </w:r>
          </w:p>
        </w:tc>
        <w:tc>
          <w:tcPr>
            <w:tcW w:w="523" w:type="pct"/>
            <w:vAlign w:val="center"/>
          </w:tcPr>
          <w:p w14:paraId="63D97300" w14:textId="746041D0" w:rsidR="00716F5E" w:rsidRPr="00716F5E" w:rsidRDefault="00716F5E" w:rsidP="00716F5E">
            <w:pPr>
              <w:jc w:val="both"/>
              <w:rPr>
                <w:b/>
                <w:i/>
                <w:sz w:val="18"/>
                <w:szCs w:val="18"/>
              </w:rPr>
            </w:pPr>
            <w:r w:rsidRPr="00832DE0">
              <w:rPr>
                <w:b/>
                <w:bCs/>
                <w:sz w:val="18"/>
                <w:szCs w:val="18"/>
              </w:rPr>
              <w:t>1,826</w:t>
            </w:r>
          </w:p>
        </w:tc>
        <w:tc>
          <w:tcPr>
            <w:tcW w:w="524" w:type="pct"/>
            <w:vAlign w:val="center"/>
          </w:tcPr>
          <w:p w14:paraId="281DA9C2" w14:textId="1C1075E8" w:rsidR="00716F5E" w:rsidRPr="00716F5E" w:rsidRDefault="00716F5E" w:rsidP="00716F5E">
            <w:pPr>
              <w:jc w:val="both"/>
              <w:rPr>
                <w:b/>
                <w:i/>
                <w:sz w:val="18"/>
                <w:szCs w:val="18"/>
              </w:rPr>
            </w:pPr>
            <w:r w:rsidRPr="00832DE0">
              <w:rPr>
                <w:b/>
                <w:bCs/>
                <w:i/>
                <w:iCs/>
                <w:sz w:val="18"/>
                <w:szCs w:val="18"/>
              </w:rPr>
              <w:t>19.9%</w:t>
            </w:r>
          </w:p>
        </w:tc>
        <w:tc>
          <w:tcPr>
            <w:tcW w:w="522" w:type="pct"/>
            <w:vAlign w:val="center"/>
          </w:tcPr>
          <w:p w14:paraId="15063A64" w14:textId="7434DA95" w:rsidR="00716F5E" w:rsidRPr="00716F5E" w:rsidRDefault="00716F5E" w:rsidP="00716F5E">
            <w:pPr>
              <w:jc w:val="both"/>
              <w:rPr>
                <w:b/>
                <w:i/>
                <w:sz w:val="18"/>
                <w:szCs w:val="18"/>
              </w:rPr>
            </w:pPr>
            <w:r w:rsidRPr="00832DE0">
              <w:rPr>
                <w:b/>
                <w:bCs/>
                <w:sz w:val="18"/>
                <w:szCs w:val="18"/>
              </w:rPr>
              <w:t>2,469</w:t>
            </w:r>
          </w:p>
        </w:tc>
        <w:tc>
          <w:tcPr>
            <w:tcW w:w="524" w:type="pct"/>
            <w:vAlign w:val="center"/>
          </w:tcPr>
          <w:p w14:paraId="2AFAC9AC" w14:textId="54C25A6F" w:rsidR="00716F5E" w:rsidRPr="00716F5E" w:rsidRDefault="00716F5E" w:rsidP="00716F5E">
            <w:pPr>
              <w:jc w:val="both"/>
              <w:rPr>
                <w:b/>
                <w:i/>
                <w:sz w:val="18"/>
                <w:szCs w:val="18"/>
              </w:rPr>
            </w:pPr>
            <w:r w:rsidRPr="00832DE0">
              <w:rPr>
                <w:b/>
                <w:bCs/>
                <w:i/>
                <w:iCs/>
                <w:sz w:val="18"/>
                <w:szCs w:val="18"/>
              </w:rPr>
              <w:t>26.9%</w:t>
            </w:r>
          </w:p>
        </w:tc>
        <w:tc>
          <w:tcPr>
            <w:tcW w:w="523" w:type="pct"/>
            <w:vAlign w:val="center"/>
          </w:tcPr>
          <w:p w14:paraId="72179FED" w14:textId="48F223F2" w:rsidR="00716F5E" w:rsidRPr="00716F5E" w:rsidRDefault="00716F5E" w:rsidP="00716F5E">
            <w:pPr>
              <w:jc w:val="both"/>
              <w:rPr>
                <w:b/>
                <w:i/>
                <w:sz w:val="18"/>
                <w:szCs w:val="18"/>
              </w:rPr>
            </w:pPr>
            <w:r w:rsidRPr="00832DE0">
              <w:rPr>
                <w:b/>
                <w:bCs/>
                <w:sz w:val="18"/>
                <w:szCs w:val="18"/>
              </w:rPr>
              <w:t>4,878</w:t>
            </w:r>
          </w:p>
        </w:tc>
        <w:tc>
          <w:tcPr>
            <w:tcW w:w="516" w:type="pct"/>
            <w:vAlign w:val="center"/>
          </w:tcPr>
          <w:p w14:paraId="0F5F3C24" w14:textId="650FA6D5" w:rsidR="00716F5E" w:rsidRPr="00716F5E" w:rsidRDefault="00716F5E" w:rsidP="00716F5E">
            <w:pPr>
              <w:jc w:val="both"/>
              <w:rPr>
                <w:b/>
                <w:i/>
                <w:sz w:val="18"/>
                <w:szCs w:val="18"/>
              </w:rPr>
            </w:pPr>
            <w:r w:rsidRPr="00832DE0">
              <w:rPr>
                <w:b/>
                <w:bCs/>
                <w:i/>
                <w:iCs/>
                <w:sz w:val="18"/>
                <w:szCs w:val="18"/>
              </w:rPr>
              <w:t>53.2%</w:t>
            </w:r>
          </w:p>
        </w:tc>
      </w:tr>
      <w:tr w:rsidR="006E76DE" w:rsidRPr="00826421" w14:paraId="6B25FD10" w14:textId="77777777" w:rsidTr="00947A30">
        <w:trPr>
          <w:trHeight w:val="480"/>
        </w:trPr>
        <w:tc>
          <w:tcPr>
            <w:tcW w:w="1046" w:type="pct"/>
            <w:shd w:val="clear" w:color="auto" w:fill="auto"/>
            <w:vAlign w:val="center"/>
            <w:hideMark/>
          </w:tcPr>
          <w:p w14:paraId="43C47F5D" w14:textId="77777777" w:rsidR="00716F5E" w:rsidRPr="00826421" w:rsidRDefault="00716F5E" w:rsidP="00832DE0">
            <w:pPr>
              <w:rPr>
                <w:sz w:val="18"/>
                <w:szCs w:val="18"/>
              </w:rPr>
            </w:pPr>
            <w:r w:rsidRPr="00826421">
              <w:rPr>
                <w:sz w:val="18"/>
                <w:szCs w:val="18"/>
              </w:rPr>
              <w:t>Owned: Owned outright</w:t>
            </w:r>
          </w:p>
        </w:tc>
        <w:tc>
          <w:tcPr>
            <w:tcW w:w="823" w:type="pct"/>
            <w:vAlign w:val="center"/>
          </w:tcPr>
          <w:p w14:paraId="6456EDAC" w14:textId="66E1B5EB" w:rsidR="00716F5E" w:rsidRPr="00716F5E" w:rsidRDefault="00716F5E" w:rsidP="00716F5E">
            <w:pPr>
              <w:jc w:val="both"/>
              <w:rPr>
                <w:sz w:val="18"/>
                <w:szCs w:val="18"/>
              </w:rPr>
            </w:pPr>
            <w:r w:rsidRPr="00832DE0">
              <w:rPr>
                <w:b/>
                <w:bCs/>
                <w:sz w:val="18"/>
                <w:szCs w:val="18"/>
              </w:rPr>
              <w:t>8,085</w:t>
            </w:r>
          </w:p>
        </w:tc>
        <w:tc>
          <w:tcPr>
            <w:tcW w:w="523" w:type="pct"/>
            <w:vAlign w:val="center"/>
          </w:tcPr>
          <w:p w14:paraId="75E8C5FC" w14:textId="45E0A4A1" w:rsidR="00716F5E" w:rsidRPr="00716F5E" w:rsidRDefault="00716F5E" w:rsidP="00716F5E">
            <w:pPr>
              <w:jc w:val="both"/>
              <w:rPr>
                <w:sz w:val="18"/>
                <w:szCs w:val="18"/>
              </w:rPr>
            </w:pPr>
            <w:r w:rsidRPr="00832DE0">
              <w:rPr>
                <w:b/>
                <w:bCs/>
                <w:sz w:val="18"/>
                <w:szCs w:val="18"/>
              </w:rPr>
              <w:t>1,557</w:t>
            </w:r>
          </w:p>
        </w:tc>
        <w:tc>
          <w:tcPr>
            <w:tcW w:w="524" w:type="pct"/>
            <w:vAlign w:val="center"/>
          </w:tcPr>
          <w:p w14:paraId="7E0040F7" w14:textId="64FB6DEF" w:rsidR="00716F5E" w:rsidRPr="00716F5E" w:rsidRDefault="00716F5E" w:rsidP="00716F5E">
            <w:pPr>
              <w:jc w:val="both"/>
              <w:rPr>
                <w:sz w:val="18"/>
                <w:szCs w:val="18"/>
              </w:rPr>
            </w:pPr>
            <w:r w:rsidRPr="00832DE0">
              <w:rPr>
                <w:sz w:val="18"/>
                <w:szCs w:val="18"/>
              </w:rPr>
              <w:t>19.3%</w:t>
            </w:r>
          </w:p>
        </w:tc>
        <w:tc>
          <w:tcPr>
            <w:tcW w:w="522" w:type="pct"/>
            <w:vAlign w:val="center"/>
          </w:tcPr>
          <w:p w14:paraId="6AC93DA3" w14:textId="293C647C" w:rsidR="00716F5E" w:rsidRPr="00716F5E" w:rsidRDefault="00716F5E" w:rsidP="00716F5E">
            <w:pPr>
              <w:jc w:val="both"/>
              <w:rPr>
                <w:sz w:val="18"/>
                <w:szCs w:val="18"/>
              </w:rPr>
            </w:pPr>
            <w:r w:rsidRPr="00832DE0">
              <w:rPr>
                <w:b/>
                <w:bCs/>
                <w:sz w:val="18"/>
                <w:szCs w:val="18"/>
              </w:rPr>
              <w:t>2,210</w:t>
            </w:r>
          </w:p>
        </w:tc>
        <w:tc>
          <w:tcPr>
            <w:tcW w:w="524" w:type="pct"/>
            <w:vAlign w:val="center"/>
          </w:tcPr>
          <w:p w14:paraId="454E846F" w14:textId="45B718FE" w:rsidR="00716F5E" w:rsidRPr="00716F5E" w:rsidRDefault="00716F5E" w:rsidP="00716F5E">
            <w:pPr>
              <w:jc w:val="both"/>
              <w:rPr>
                <w:sz w:val="18"/>
                <w:szCs w:val="18"/>
              </w:rPr>
            </w:pPr>
            <w:r w:rsidRPr="00832DE0">
              <w:rPr>
                <w:sz w:val="18"/>
                <w:szCs w:val="18"/>
              </w:rPr>
              <w:t>27.3%</w:t>
            </w:r>
          </w:p>
        </w:tc>
        <w:tc>
          <w:tcPr>
            <w:tcW w:w="523" w:type="pct"/>
            <w:vAlign w:val="center"/>
          </w:tcPr>
          <w:p w14:paraId="703B77A7" w14:textId="4B299E0D" w:rsidR="00716F5E" w:rsidRPr="00716F5E" w:rsidRDefault="00716F5E" w:rsidP="00716F5E">
            <w:pPr>
              <w:jc w:val="both"/>
              <w:rPr>
                <w:sz w:val="18"/>
                <w:szCs w:val="18"/>
              </w:rPr>
            </w:pPr>
            <w:r w:rsidRPr="00832DE0">
              <w:rPr>
                <w:b/>
                <w:bCs/>
                <w:sz w:val="18"/>
                <w:szCs w:val="18"/>
              </w:rPr>
              <w:t>4,318</w:t>
            </w:r>
          </w:p>
        </w:tc>
        <w:tc>
          <w:tcPr>
            <w:tcW w:w="516" w:type="pct"/>
            <w:vAlign w:val="center"/>
          </w:tcPr>
          <w:p w14:paraId="346A4000" w14:textId="574A4FEC" w:rsidR="00716F5E" w:rsidRPr="00716F5E" w:rsidRDefault="00716F5E" w:rsidP="00716F5E">
            <w:pPr>
              <w:jc w:val="both"/>
              <w:rPr>
                <w:sz w:val="18"/>
                <w:szCs w:val="18"/>
              </w:rPr>
            </w:pPr>
            <w:r w:rsidRPr="00832DE0">
              <w:rPr>
                <w:sz w:val="18"/>
                <w:szCs w:val="18"/>
              </w:rPr>
              <w:t>53.4%</w:t>
            </w:r>
          </w:p>
        </w:tc>
      </w:tr>
      <w:tr w:rsidR="006E76DE" w:rsidRPr="00826421" w14:paraId="47FA3DF2" w14:textId="77777777" w:rsidTr="00947A30">
        <w:trPr>
          <w:trHeight w:val="480"/>
        </w:trPr>
        <w:tc>
          <w:tcPr>
            <w:tcW w:w="1046" w:type="pct"/>
            <w:shd w:val="clear" w:color="auto" w:fill="auto"/>
            <w:vAlign w:val="center"/>
            <w:hideMark/>
          </w:tcPr>
          <w:p w14:paraId="2B6A5071" w14:textId="77777777" w:rsidR="00716F5E" w:rsidRPr="00826421" w:rsidRDefault="00716F5E" w:rsidP="00832DE0">
            <w:pPr>
              <w:rPr>
                <w:sz w:val="18"/>
                <w:szCs w:val="18"/>
              </w:rPr>
            </w:pPr>
            <w:r w:rsidRPr="00826421">
              <w:rPr>
                <w:sz w:val="18"/>
                <w:szCs w:val="18"/>
              </w:rPr>
              <w:t>Owned: Owned with a mortgage or loan or shared ownership</w:t>
            </w:r>
          </w:p>
        </w:tc>
        <w:tc>
          <w:tcPr>
            <w:tcW w:w="823" w:type="pct"/>
            <w:vAlign w:val="center"/>
          </w:tcPr>
          <w:p w14:paraId="289CBBD2" w14:textId="2D91E42C" w:rsidR="00716F5E" w:rsidRPr="00716F5E" w:rsidRDefault="00716F5E" w:rsidP="00716F5E">
            <w:pPr>
              <w:jc w:val="both"/>
              <w:rPr>
                <w:sz w:val="18"/>
                <w:szCs w:val="18"/>
              </w:rPr>
            </w:pPr>
            <w:r w:rsidRPr="00832DE0">
              <w:rPr>
                <w:b/>
                <w:bCs/>
                <w:sz w:val="18"/>
                <w:szCs w:val="18"/>
              </w:rPr>
              <w:t>1,088</w:t>
            </w:r>
          </w:p>
        </w:tc>
        <w:tc>
          <w:tcPr>
            <w:tcW w:w="523" w:type="pct"/>
            <w:vAlign w:val="center"/>
          </w:tcPr>
          <w:p w14:paraId="1FDE26AE" w14:textId="5A60D9C2" w:rsidR="00716F5E" w:rsidRPr="00716F5E" w:rsidRDefault="00716F5E" w:rsidP="00716F5E">
            <w:pPr>
              <w:jc w:val="both"/>
              <w:rPr>
                <w:sz w:val="18"/>
                <w:szCs w:val="18"/>
              </w:rPr>
            </w:pPr>
            <w:r w:rsidRPr="00832DE0">
              <w:rPr>
                <w:b/>
                <w:bCs/>
                <w:sz w:val="18"/>
                <w:szCs w:val="18"/>
              </w:rPr>
              <w:t>269</w:t>
            </w:r>
          </w:p>
        </w:tc>
        <w:tc>
          <w:tcPr>
            <w:tcW w:w="524" w:type="pct"/>
            <w:vAlign w:val="center"/>
          </w:tcPr>
          <w:p w14:paraId="287EAE50" w14:textId="5AC5B769" w:rsidR="00716F5E" w:rsidRPr="00716F5E" w:rsidRDefault="00716F5E" w:rsidP="00716F5E">
            <w:pPr>
              <w:jc w:val="both"/>
              <w:rPr>
                <w:sz w:val="18"/>
                <w:szCs w:val="18"/>
              </w:rPr>
            </w:pPr>
            <w:r w:rsidRPr="00832DE0">
              <w:rPr>
                <w:sz w:val="18"/>
                <w:szCs w:val="18"/>
              </w:rPr>
              <w:t>24.7%</w:t>
            </w:r>
          </w:p>
        </w:tc>
        <w:tc>
          <w:tcPr>
            <w:tcW w:w="522" w:type="pct"/>
            <w:vAlign w:val="center"/>
          </w:tcPr>
          <w:p w14:paraId="1EF20962" w14:textId="28B9BA73" w:rsidR="00716F5E" w:rsidRPr="00716F5E" w:rsidRDefault="00716F5E" w:rsidP="00716F5E">
            <w:pPr>
              <w:jc w:val="both"/>
              <w:rPr>
                <w:sz w:val="18"/>
                <w:szCs w:val="18"/>
              </w:rPr>
            </w:pPr>
            <w:r w:rsidRPr="00832DE0">
              <w:rPr>
                <w:b/>
                <w:bCs/>
                <w:sz w:val="18"/>
                <w:szCs w:val="18"/>
              </w:rPr>
              <w:t>259</w:t>
            </w:r>
          </w:p>
        </w:tc>
        <w:tc>
          <w:tcPr>
            <w:tcW w:w="524" w:type="pct"/>
            <w:vAlign w:val="center"/>
          </w:tcPr>
          <w:p w14:paraId="465EB1AB" w14:textId="2AD38CF3" w:rsidR="00716F5E" w:rsidRPr="00716F5E" w:rsidRDefault="00716F5E" w:rsidP="00716F5E">
            <w:pPr>
              <w:jc w:val="both"/>
              <w:rPr>
                <w:sz w:val="18"/>
                <w:szCs w:val="18"/>
              </w:rPr>
            </w:pPr>
            <w:r w:rsidRPr="00832DE0">
              <w:rPr>
                <w:sz w:val="18"/>
                <w:szCs w:val="18"/>
              </w:rPr>
              <w:t>23.8%</w:t>
            </w:r>
          </w:p>
        </w:tc>
        <w:tc>
          <w:tcPr>
            <w:tcW w:w="523" w:type="pct"/>
            <w:vAlign w:val="center"/>
          </w:tcPr>
          <w:p w14:paraId="39D2C862" w14:textId="73023F68" w:rsidR="00716F5E" w:rsidRPr="00716F5E" w:rsidRDefault="00716F5E" w:rsidP="00716F5E">
            <w:pPr>
              <w:jc w:val="both"/>
              <w:rPr>
                <w:sz w:val="18"/>
                <w:szCs w:val="18"/>
              </w:rPr>
            </w:pPr>
            <w:r w:rsidRPr="00832DE0">
              <w:rPr>
                <w:b/>
                <w:bCs/>
                <w:sz w:val="18"/>
                <w:szCs w:val="18"/>
              </w:rPr>
              <w:t>560</w:t>
            </w:r>
          </w:p>
        </w:tc>
        <w:tc>
          <w:tcPr>
            <w:tcW w:w="516" w:type="pct"/>
            <w:vAlign w:val="center"/>
          </w:tcPr>
          <w:p w14:paraId="665E3A94" w14:textId="3013CA78" w:rsidR="00716F5E" w:rsidRPr="00716F5E" w:rsidRDefault="00716F5E" w:rsidP="00716F5E">
            <w:pPr>
              <w:jc w:val="both"/>
              <w:rPr>
                <w:sz w:val="18"/>
                <w:szCs w:val="18"/>
              </w:rPr>
            </w:pPr>
            <w:r w:rsidRPr="00832DE0">
              <w:rPr>
                <w:sz w:val="18"/>
                <w:szCs w:val="18"/>
              </w:rPr>
              <w:t>51.5%</w:t>
            </w:r>
          </w:p>
        </w:tc>
      </w:tr>
      <w:tr w:rsidR="006E76DE" w:rsidRPr="00826421" w14:paraId="12C43FF0" w14:textId="77777777" w:rsidTr="00947A30">
        <w:trPr>
          <w:trHeight w:val="480"/>
        </w:trPr>
        <w:tc>
          <w:tcPr>
            <w:tcW w:w="1046" w:type="pct"/>
            <w:shd w:val="clear" w:color="auto" w:fill="auto"/>
            <w:vAlign w:val="center"/>
            <w:hideMark/>
          </w:tcPr>
          <w:p w14:paraId="66274241" w14:textId="77777777" w:rsidR="00716F5E" w:rsidRPr="00826421" w:rsidRDefault="00716F5E" w:rsidP="00832DE0">
            <w:pPr>
              <w:rPr>
                <w:b/>
                <w:i/>
                <w:sz w:val="18"/>
                <w:szCs w:val="18"/>
              </w:rPr>
            </w:pPr>
            <w:r w:rsidRPr="00826421">
              <w:rPr>
                <w:b/>
                <w:i/>
                <w:sz w:val="18"/>
                <w:szCs w:val="18"/>
              </w:rPr>
              <w:t>Rented or living rent free: Total</w:t>
            </w:r>
          </w:p>
        </w:tc>
        <w:tc>
          <w:tcPr>
            <w:tcW w:w="823" w:type="pct"/>
            <w:vAlign w:val="center"/>
          </w:tcPr>
          <w:p w14:paraId="0B25B38C" w14:textId="6F43245C" w:rsidR="00716F5E" w:rsidRPr="00716F5E" w:rsidRDefault="00716F5E" w:rsidP="00716F5E">
            <w:pPr>
              <w:jc w:val="both"/>
              <w:rPr>
                <w:b/>
                <w:i/>
                <w:sz w:val="18"/>
                <w:szCs w:val="18"/>
              </w:rPr>
            </w:pPr>
            <w:r w:rsidRPr="00832DE0">
              <w:rPr>
                <w:b/>
                <w:bCs/>
                <w:sz w:val="18"/>
                <w:szCs w:val="18"/>
              </w:rPr>
              <w:t>1,868</w:t>
            </w:r>
          </w:p>
        </w:tc>
        <w:tc>
          <w:tcPr>
            <w:tcW w:w="523" w:type="pct"/>
            <w:vAlign w:val="center"/>
          </w:tcPr>
          <w:p w14:paraId="4065C5F8" w14:textId="072B9687" w:rsidR="00716F5E" w:rsidRPr="00716F5E" w:rsidRDefault="00716F5E" w:rsidP="00716F5E">
            <w:pPr>
              <w:jc w:val="both"/>
              <w:rPr>
                <w:b/>
                <w:i/>
                <w:sz w:val="18"/>
                <w:szCs w:val="18"/>
              </w:rPr>
            </w:pPr>
            <w:r w:rsidRPr="00832DE0">
              <w:rPr>
                <w:b/>
                <w:bCs/>
                <w:sz w:val="18"/>
                <w:szCs w:val="18"/>
              </w:rPr>
              <w:t>671</w:t>
            </w:r>
          </w:p>
        </w:tc>
        <w:tc>
          <w:tcPr>
            <w:tcW w:w="524" w:type="pct"/>
            <w:vAlign w:val="center"/>
          </w:tcPr>
          <w:p w14:paraId="1B689935" w14:textId="0752D091" w:rsidR="00716F5E" w:rsidRPr="00716F5E" w:rsidRDefault="00716F5E" w:rsidP="00716F5E">
            <w:pPr>
              <w:jc w:val="both"/>
              <w:rPr>
                <w:b/>
                <w:i/>
                <w:sz w:val="18"/>
                <w:szCs w:val="18"/>
              </w:rPr>
            </w:pPr>
            <w:r w:rsidRPr="00832DE0">
              <w:rPr>
                <w:b/>
                <w:bCs/>
                <w:i/>
                <w:iCs/>
                <w:sz w:val="18"/>
                <w:szCs w:val="18"/>
              </w:rPr>
              <w:t>35.9%</w:t>
            </w:r>
          </w:p>
        </w:tc>
        <w:tc>
          <w:tcPr>
            <w:tcW w:w="522" w:type="pct"/>
            <w:vAlign w:val="center"/>
          </w:tcPr>
          <w:p w14:paraId="16CA3F21" w14:textId="10F5E6C9" w:rsidR="00716F5E" w:rsidRPr="00716F5E" w:rsidRDefault="00716F5E" w:rsidP="00716F5E">
            <w:pPr>
              <w:jc w:val="both"/>
              <w:rPr>
                <w:b/>
                <w:i/>
                <w:sz w:val="18"/>
                <w:szCs w:val="18"/>
              </w:rPr>
            </w:pPr>
            <w:r w:rsidRPr="00832DE0">
              <w:rPr>
                <w:b/>
                <w:bCs/>
                <w:sz w:val="18"/>
                <w:szCs w:val="18"/>
              </w:rPr>
              <w:t>568</w:t>
            </w:r>
          </w:p>
        </w:tc>
        <w:tc>
          <w:tcPr>
            <w:tcW w:w="524" w:type="pct"/>
            <w:vAlign w:val="center"/>
          </w:tcPr>
          <w:p w14:paraId="67E4834B" w14:textId="6B6F39F4" w:rsidR="00716F5E" w:rsidRPr="00716F5E" w:rsidRDefault="00716F5E" w:rsidP="00716F5E">
            <w:pPr>
              <w:jc w:val="both"/>
              <w:rPr>
                <w:b/>
                <w:i/>
                <w:sz w:val="18"/>
                <w:szCs w:val="18"/>
              </w:rPr>
            </w:pPr>
            <w:r w:rsidRPr="00832DE0">
              <w:rPr>
                <w:b/>
                <w:bCs/>
                <w:i/>
                <w:iCs/>
                <w:sz w:val="18"/>
                <w:szCs w:val="18"/>
              </w:rPr>
              <w:t>30.4%</w:t>
            </w:r>
          </w:p>
        </w:tc>
        <w:tc>
          <w:tcPr>
            <w:tcW w:w="523" w:type="pct"/>
            <w:vAlign w:val="center"/>
          </w:tcPr>
          <w:p w14:paraId="448DB7D3" w14:textId="29EDCE12" w:rsidR="00716F5E" w:rsidRPr="00716F5E" w:rsidRDefault="00716F5E" w:rsidP="00716F5E">
            <w:pPr>
              <w:jc w:val="both"/>
              <w:rPr>
                <w:b/>
                <w:i/>
                <w:sz w:val="18"/>
                <w:szCs w:val="18"/>
              </w:rPr>
            </w:pPr>
            <w:r w:rsidRPr="00832DE0">
              <w:rPr>
                <w:b/>
                <w:bCs/>
                <w:sz w:val="18"/>
                <w:szCs w:val="18"/>
              </w:rPr>
              <w:t>629</w:t>
            </w:r>
          </w:p>
        </w:tc>
        <w:tc>
          <w:tcPr>
            <w:tcW w:w="516" w:type="pct"/>
            <w:vAlign w:val="center"/>
          </w:tcPr>
          <w:p w14:paraId="0BD202DB" w14:textId="01E1D0C2" w:rsidR="00716F5E" w:rsidRPr="00716F5E" w:rsidRDefault="00716F5E" w:rsidP="00716F5E">
            <w:pPr>
              <w:jc w:val="both"/>
              <w:rPr>
                <w:b/>
                <w:i/>
                <w:sz w:val="18"/>
                <w:szCs w:val="18"/>
              </w:rPr>
            </w:pPr>
            <w:r w:rsidRPr="00832DE0">
              <w:rPr>
                <w:b/>
                <w:bCs/>
                <w:i/>
                <w:iCs/>
                <w:sz w:val="18"/>
                <w:szCs w:val="18"/>
              </w:rPr>
              <w:t>33.7%</w:t>
            </w:r>
          </w:p>
        </w:tc>
      </w:tr>
      <w:tr w:rsidR="006E76DE" w:rsidRPr="00826421" w14:paraId="0F67AA42" w14:textId="77777777" w:rsidTr="00947A30">
        <w:trPr>
          <w:trHeight w:val="480"/>
        </w:trPr>
        <w:tc>
          <w:tcPr>
            <w:tcW w:w="1046" w:type="pct"/>
            <w:shd w:val="clear" w:color="auto" w:fill="auto"/>
            <w:vAlign w:val="center"/>
            <w:hideMark/>
          </w:tcPr>
          <w:p w14:paraId="0DD58C65" w14:textId="77777777" w:rsidR="00716F5E" w:rsidRPr="00826421" w:rsidRDefault="00716F5E" w:rsidP="00832DE0">
            <w:pPr>
              <w:rPr>
                <w:sz w:val="18"/>
                <w:szCs w:val="18"/>
              </w:rPr>
            </w:pPr>
            <w:r w:rsidRPr="00826421">
              <w:rPr>
                <w:sz w:val="18"/>
                <w:szCs w:val="18"/>
              </w:rPr>
              <w:t>Rented: Social rented</w:t>
            </w:r>
          </w:p>
        </w:tc>
        <w:tc>
          <w:tcPr>
            <w:tcW w:w="823" w:type="pct"/>
            <w:vAlign w:val="center"/>
          </w:tcPr>
          <w:p w14:paraId="5477A6A1" w14:textId="20A19CE5" w:rsidR="00716F5E" w:rsidRPr="00716F5E" w:rsidRDefault="00716F5E" w:rsidP="00716F5E">
            <w:pPr>
              <w:jc w:val="both"/>
              <w:rPr>
                <w:sz w:val="18"/>
                <w:szCs w:val="18"/>
              </w:rPr>
            </w:pPr>
            <w:r w:rsidRPr="00832DE0">
              <w:rPr>
                <w:b/>
                <w:bCs/>
                <w:sz w:val="18"/>
                <w:szCs w:val="18"/>
              </w:rPr>
              <w:t>1,124</w:t>
            </w:r>
          </w:p>
        </w:tc>
        <w:tc>
          <w:tcPr>
            <w:tcW w:w="523" w:type="pct"/>
            <w:vAlign w:val="center"/>
          </w:tcPr>
          <w:p w14:paraId="0D404136" w14:textId="3B37DAAB" w:rsidR="00716F5E" w:rsidRPr="00716F5E" w:rsidRDefault="00716F5E" w:rsidP="00716F5E">
            <w:pPr>
              <w:jc w:val="both"/>
              <w:rPr>
                <w:sz w:val="18"/>
                <w:szCs w:val="18"/>
              </w:rPr>
            </w:pPr>
            <w:r w:rsidRPr="00832DE0">
              <w:rPr>
                <w:b/>
                <w:bCs/>
                <w:sz w:val="18"/>
                <w:szCs w:val="18"/>
              </w:rPr>
              <w:t>449</w:t>
            </w:r>
          </w:p>
        </w:tc>
        <w:tc>
          <w:tcPr>
            <w:tcW w:w="524" w:type="pct"/>
            <w:vAlign w:val="center"/>
          </w:tcPr>
          <w:p w14:paraId="75127C78" w14:textId="4DF42B82" w:rsidR="00716F5E" w:rsidRPr="00716F5E" w:rsidRDefault="00716F5E" w:rsidP="00716F5E">
            <w:pPr>
              <w:jc w:val="both"/>
              <w:rPr>
                <w:sz w:val="18"/>
                <w:szCs w:val="18"/>
              </w:rPr>
            </w:pPr>
            <w:r w:rsidRPr="00832DE0">
              <w:rPr>
                <w:sz w:val="18"/>
                <w:szCs w:val="18"/>
              </w:rPr>
              <w:t>39.9%</w:t>
            </w:r>
          </w:p>
        </w:tc>
        <w:tc>
          <w:tcPr>
            <w:tcW w:w="522" w:type="pct"/>
            <w:vAlign w:val="center"/>
          </w:tcPr>
          <w:p w14:paraId="613E0F36" w14:textId="23148C9C" w:rsidR="00716F5E" w:rsidRPr="00716F5E" w:rsidRDefault="00716F5E" w:rsidP="00716F5E">
            <w:pPr>
              <w:jc w:val="both"/>
              <w:rPr>
                <w:sz w:val="18"/>
                <w:szCs w:val="18"/>
              </w:rPr>
            </w:pPr>
            <w:r w:rsidRPr="00832DE0">
              <w:rPr>
                <w:b/>
                <w:bCs/>
                <w:sz w:val="18"/>
                <w:szCs w:val="18"/>
              </w:rPr>
              <w:t>351</w:t>
            </w:r>
          </w:p>
        </w:tc>
        <w:tc>
          <w:tcPr>
            <w:tcW w:w="524" w:type="pct"/>
            <w:vAlign w:val="center"/>
          </w:tcPr>
          <w:p w14:paraId="24DA8221" w14:textId="61F2928B" w:rsidR="00716F5E" w:rsidRPr="00716F5E" w:rsidRDefault="00716F5E" w:rsidP="00716F5E">
            <w:pPr>
              <w:jc w:val="both"/>
              <w:rPr>
                <w:sz w:val="18"/>
                <w:szCs w:val="18"/>
              </w:rPr>
            </w:pPr>
            <w:r w:rsidRPr="00832DE0">
              <w:rPr>
                <w:sz w:val="18"/>
                <w:szCs w:val="18"/>
              </w:rPr>
              <w:t>31.2%</w:t>
            </w:r>
          </w:p>
        </w:tc>
        <w:tc>
          <w:tcPr>
            <w:tcW w:w="523" w:type="pct"/>
            <w:vAlign w:val="center"/>
          </w:tcPr>
          <w:p w14:paraId="6DBEFAF6" w14:textId="0BF8C64B" w:rsidR="00716F5E" w:rsidRPr="00716F5E" w:rsidRDefault="00716F5E" w:rsidP="00716F5E">
            <w:pPr>
              <w:jc w:val="both"/>
              <w:rPr>
                <w:sz w:val="18"/>
                <w:szCs w:val="18"/>
              </w:rPr>
            </w:pPr>
            <w:r w:rsidRPr="00832DE0">
              <w:rPr>
                <w:b/>
                <w:bCs/>
                <w:sz w:val="18"/>
                <w:szCs w:val="18"/>
              </w:rPr>
              <w:t>324</w:t>
            </w:r>
          </w:p>
        </w:tc>
        <w:tc>
          <w:tcPr>
            <w:tcW w:w="516" w:type="pct"/>
            <w:vAlign w:val="center"/>
          </w:tcPr>
          <w:p w14:paraId="52AE9A70" w14:textId="7D18C374" w:rsidR="00716F5E" w:rsidRPr="00716F5E" w:rsidRDefault="00716F5E" w:rsidP="00716F5E">
            <w:pPr>
              <w:jc w:val="both"/>
              <w:rPr>
                <w:sz w:val="18"/>
                <w:szCs w:val="18"/>
              </w:rPr>
            </w:pPr>
            <w:r w:rsidRPr="00832DE0">
              <w:rPr>
                <w:sz w:val="18"/>
                <w:szCs w:val="18"/>
              </w:rPr>
              <w:t>28.8%</w:t>
            </w:r>
          </w:p>
        </w:tc>
      </w:tr>
      <w:tr w:rsidR="006E76DE" w:rsidRPr="00826421" w14:paraId="173319E5" w14:textId="77777777" w:rsidTr="00947A30">
        <w:trPr>
          <w:trHeight w:val="480"/>
        </w:trPr>
        <w:tc>
          <w:tcPr>
            <w:tcW w:w="1046" w:type="pct"/>
            <w:shd w:val="clear" w:color="auto" w:fill="auto"/>
            <w:vAlign w:val="center"/>
            <w:hideMark/>
          </w:tcPr>
          <w:p w14:paraId="16FB6B37" w14:textId="77777777" w:rsidR="00716F5E" w:rsidRPr="00826421" w:rsidRDefault="00716F5E" w:rsidP="00832DE0">
            <w:pPr>
              <w:rPr>
                <w:sz w:val="18"/>
                <w:szCs w:val="18"/>
              </w:rPr>
            </w:pPr>
            <w:r w:rsidRPr="00826421">
              <w:rPr>
                <w:sz w:val="18"/>
                <w:szCs w:val="18"/>
              </w:rPr>
              <w:t>Rented: Private rented or living rent free</w:t>
            </w:r>
          </w:p>
        </w:tc>
        <w:tc>
          <w:tcPr>
            <w:tcW w:w="823" w:type="pct"/>
            <w:vAlign w:val="center"/>
          </w:tcPr>
          <w:p w14:paraId="464CCA2A" w14:textId="6F07196C" w:rsidR="00716F5E" w:rsidRPr="00716F5E" w:rsidRDefault="00716F5E" w:rsidP="00716F5E">
            <w:pPr>
              <w:jc w:val="both"/>
              <w:rPr>
                <w:sz w:val="18"/>
                <w:szCs w:val="18"/>
              </w:rPr>
            </w:pPr>
            <w:r w:rsidRPr="00832DE0">
              <w:rPr>
                <w:b/>
                <w:bCs/>
                <w:sz w:val="18"/>
                <w:szCs w:val="18"/>
              </w:rPr>
              <w:t>744</w:t>
            </w:r>
          </w:p>
        </w:tc>
        <w:tc>
          <w:tcPr>
            <w:tcW w:w="523" w:type="pct"/>
            <w:vAlign w:val="center"/>
          </w:tcPr>
          <w:p w14:paraId="0AF4750B" w14:textId="101BF4B2" w:rsidR="00716F5E" w:rsidRPr="00716F5E" w:rsidRDefault="00716F5E" w:rsidP="00716F5E">
            <w:pPr>
              <w:jc w:val="both"/>
              <w:rPr>
                <w:sz w:val="18"/>
                <w:szCs w:val="18"/>
              </w:rPr>
            </w:pPr>
            <w:r w:rsidRPr="00832DE0">
              <w:rPr>
                <w:b/>
                <w:bCs/>
                <w:sz w:val="18"/>
                <w:szCs w:val="18"/>
              </w:rPr>
              <w:t>222</w:t>
            </w:r>
          </w:p>
        </w:tc>
        <w:tc>
          <w:tcPr>
            <w:tcW w:w="524" w:type="pct"/>
            <w:vAlign w:val="center"/>
          </w:tcPr>
          <w:p w14:paraId="5F3ADAEB" w14:textId="08E44FA3" w:rsidR="00716F5E" w:rsidRPr="00716F5E" w:rsidRDefault="00716F5E" w:rsidP="00716F5E">
            <w:pPr>
              <w:jc w:val="both"/>
              <w:rPr>
                <w:sz w:val="18"/>
                <w:szCs w:val="18"/>
              </w:rPr>
            </w:pPr>
            <w:r w:rsidRPr="00832DE0">
              <w:rPr>
                <w:sz w:val="18"/>
                <w:szCs w:val="18"/>
              </w:rPr>
              <w:t>29.8%</w:t>
            </w:r>
          </w:p>
        </w:tc>
        <w:tc>
          <w:tcPr>
            <w:tcW w:w="522" w:type="pct"/>
            <w:vAlign w:val="center"/>
          </w:tcPr>
          <w:p w14:paraId="6FED64DA" w14:textId="42BF6B38" w:rsidR="00716F5E" w:rsidRPr="00716F5E" w:rsidRDefault="00716F5E" w:rsidP="00716F5E">
            <w:pPr>
              <w:jc w:val="both"/>
              <w:rPr>
                <w:sz w:val="18"/>
                <w:szCs w:val="18"/>
              </w:rPr>
            </w:pPr>
            <w:r w:rsidRPr="00832DE0">
              <w:rPr>
                <w:b/>
                <w:bCs/>
                <w:sz w:val="18"/>
                <w:szCs w:val="18"/>
              </w:rPr>
              <w:t>217</w:t>
            </w:r>
          </w:p>
        </w:tc>
        <w:tc>
          <w:tcPr>
            <w:tcW w:w="524" w:type="pct"/>
            <w:vAlign w:val="center"/>
          </w:tcPr>
          <w:p w14:paraId="0142E63A" w14:textId="5A42277D" w:rsidR="00716F5E" w:rsidRPr="00716F5E" w:rsidRDefault="00716F5E" w:rsidP="00716F5E">
            <w:pPr>
              <w:jc w:val="both"/>
              <w:rPr>
                <w:sz w:val="18"/>
                <w:szCs w:val="18"/>
              </w:rPr>
            </w:pPr>
            <w:r w:rsidRPr="00832DE0">
              <w:rPr>
                <w:sz w:val="18"/>
                <w:szCs w:val="18"/>
              </w:rPr>
              <w:t>29.2%</w:t>
            </w:r>
          </w:p>
        </w:tc>
        <w:tc>
          <w:tcPr>
            <w:tcW w:w="523" w:type="pct"/>
            <w:vAlign w:val="center"/>
          </w:tcPr>
          <w:p w14:paraId="7E86E940" w14:textId="0E8E26AD" w:rsidR="00716F5E" w:rsidRPr="00716F5E" w:rsidRDefault="00716F5E" w:rsidP="00716F5E">
            <w:pPr>
              <w:jc w:val="both"/>
              <w:rPr>
                <w:sz w:val="18"/>
                <w:szCs w:val="18"/>
              </w:rPr>
            </w:pPr>
            <w:r w:rsidRPr="00832DE0">
              <w:rPr>
                <w:b/>
                <w:bCs/>
                <w:sz w:val="18"/>
                <w:szCs w:val="18"/>
              </w:rPr>
              <w:t>305</w:t>
            </w:r>
          </w:p>
        </w:tc>
        <w:tc>
          <w:tcPr>
            <w:tcW w:w="516" w:type="pct"/>
            <w:vAlign w:val="center"/>
          </w:tcPr>
          <w:p w14:paraId="18AF4692" w14:textId="5F6B5BE2" w:rsidR="00716F5E" w:rsidRPr="00716F5E" w:rsidRDefault="00716F5E" w:rsidP="00716F5E">
            <w:pPr>
              <w:jc w:val="both"/>
              <w:rPr>
                <w:sz w:val="18"/>
                <w:szCs w:val="18"/>
              </w:rPr>
            </w:pPr>
            <w:r w:rsidRPr="00832DE0">
              <w:rPr>
                <w:sz w:val="18"/>
                <w:szCs w:val="18"/>
              </w:rPr>
              <w:t>41.0%</w:t>
            </w:r>
          </w:p>
        </w:tc>
      </w:tr>
    </w:tbl>
    <w:p w14:paraId="1E752B47" w14:textId="77777777" w:rsidR="00826421" w:rsidRPr="00826421" w:rsidRDefault="00826421" w:rsidP="00616B01">
      <w:pPr>
        <w:spacing w:after="120"/>
        <w:ind w:left="425"/>
        <w:jc w:val="both"/>
        <w:rPr>
          <w:i/>
          <w:sz w:val="18"/>
          <w:szCs w:val="18"/>
          <w:lang w:val="en-US"/>
        </w:rPr>
      </w:pPr>
      <w:r w:rsidRPr="00826421">
        <w:rPr>
          <w:i/>
          <w:sz w:val="18"/>
          <w:szCs w:val="18"/>
          <w:lang w:val="en-US"/>
        </w:rPr>
        <w:t xml:space="preserve">Source: DC3408EW Health status </w:t>
      </w:r>
    </w:p>
    <w:p w14:paraId="100A0868" w14:textId="7142C6CD" w:rsidR="00826421" w:rsidRPr="00826421" w:rsidRDefault="0018531C" w:rsidP="00826421">
      <w:pPr>
        <w:numPr>
          <w:ilvl w:val="0"/>
          <w:numId w:val="15"/>
        </w:numPr>
        <w:spacing w:before="0" w:after="120"/>
        <w:jc w:val="both"/>
        <w:rPr>
          <w:sz w:val="18"/>
          <w:szCs w:val="18"/>
          <w:lang w:val="en-US"/>
        </w:rPr>
      </w:pPr>
      <w:r>
        <w:rPr>
          <w:sz w:val="18"/>
          <w:szCs w:val="18"/>
          <w:lang w:val="en-US"/>
        </w:rPr>
        <w:t>Focusing</w:t>
      </w:r>
      <w:r w:rsidR="00826421" w:rsidRPr="00826421">
        <w:rPr>
          <w:sz w:val="18"/>
          <w:szCs w:val="18"/>
          <w:lang w:val="en-US"/>
        </w:rPr>
        <w:t xml:space="preserve"> on those whose activities are limited a lot, the calculations suggest that of the </w:t>
      </w:r>
      <w:r w:rsidR="005364D5">
        <w:rPr>
          <w:sz w:val="18"/>
          <w:szCs w:val="18"/>
          <w:lang w:val="en-US"/>
        </w:rPr>
        <w:t xml:space="preserve">717 </w:t>
      </w:r>
      <w:r w:rsidR="00826421" w:rsidRPr="00826421">
        <w:rPr>
          <w:sz w:val="18"/>
          <w:szCs w:val="18"/>
          <w:lang w:val="en-US"/>
        </w:rPr>
        <w:t>renter and</w:t>
      </w:r>
      <w:r w:rsidR="005364D5">
        <w:rPr>
          <w:sz w:val="18"/>
          <w:szCs w:val="18"/>
          <w:lang w:val="en-US"/>
        </w:rPr>
        <w:t xml:space="preserve"> 3,877</w:t>
      </w:r>
      <w:r w:rsidR="00826421" w:rsidRPr="00826421">
        <w:rPr>
          <w:sz w:val="18"/>
          <w:szCs w:val="18"/>
          <w:lang w:val="en-US"/>
        </w:rPr>
        <w:t xml:space="preserve"> owner</w:t>
      </w:r>
      <w:r w:rsidR="008504FB">
        <w:rPr>
          <w:sz w:val="18"/>
          <w:szCs w:val="18"/>
          <w:lang w:val="en-US"/>
        </w:rPr>
        <w:t xml:space="preserve"> households</w:t>
      </w:r>
      <w:r w:rsidR="00826421" w:rsidRPr="00826421">
        <w:rPr>
          <w:sz w:val="18"/>
          <w:szCs w:val="18"/>
          <w:lang w:val="en-US"/>
        </w:rPr>
        <w:t xml:space="preserve"> in </w:t>
      </w:r>
      <w:r w:rsidR="0015105E">
        <w:rPr>
          <w:color w:val="000000" w:themeColor="text1"/>
          <w:sz w:val="18"/>
          <w:szCs w:val="18"/>
          <w:lang w:val="en-US"/>
        </w:rPr>
        <w:t>Weymouth</w:t>
      </w:r>
      <w:r w:rsidR="00826421" w:rsidRPr="00826421">
        <w:rPr>
          <w:sz w:val="18"/>
          <w:szCs w:val="18"/>
          <w:lang w:val="en-US"/>
        </w:rPr>
        <w:t xml:space="preserve"> in th</w:t>
      </w:r>
      <w:r w:rsidR="008655D4">
        <w:rPr>
          <w:sz w:val="18"/>
          <w:szCs w:val="18"/>
          <w:lang w:val="en-US"/>
        </w:rPr>
        <w:t>e 75+</w:t>
      </w:r>
      <w:r w:rsidR="00826421" w:rsidRPr="00826421">
        <w:rPr>
          <w:sz w:val="18"/>
          <w:szCs w:val="18"/>
          <w:lang w:val="en-US"/>
        </w:rPr>
        <w:t xml:space="preserve"> age group, there could be a need for </w:t>
      </w:r>
      <w:r w:rsidR="005364D5">
        <w:rPr>
          <w:sz w:val="18"/>
          <w:szCs w:val="18"/>
          <w:lang w:val="en-US"/>
        </w:rPr>
        <w:t>772</w:t>
      </w:r>
      <w:r w:rsidR="00826421" w:rsidRPr="00826421">
        <w:rPr>
          <w:sz w:val="18"/>
          <w:szCs w:val="18"/>
          <w:lang w:val="en-US"/>
        </w:rPr>
        <w:t xml:space="preserve"> specialist homes for owner occupiers </w:t>
      </w:r>
      <w:r w:rsidR="008655D4">
        <w:rPr>
          <w:sz w:val="18"/>
          <w:szCs w:val="18"/>
          <w:lang w:val="en-US"/>
        </w:rPr>
        <w:t>(19.9</w:t>
      </w:r>
      <w:r w:rsidR="00826421" w:rsidRPr="00826421">
        <w:rPr>
          <w:sz w:val="18"/>
          <w:szCs w:val="18"/>
          <w:lang w:val="en-US"/>
        </w:rPr>
        <w:t xml:space="preserve">% x </w:t>
      </w:r>
      <w:r w:rsidR="005364D5">
        <w:rPr>
          <w:sz w:val="18"/>
          <w:szCs w:val="18"/>
          <w:lang w:val="en-US"/>
        </w:rPr>
        <w:t>3,877</w:t>
      </w:r>
      <w:r w:rsidR="00826421" w:rsidRPr="00826421">
        <w:rPr>
          <w:sz w:val="18"/>
          <w:szCs w:val="18"/>
          <w:lang w:val="en-US"/>
        </w:rPr>
        <w:t xml:space="preserve">) and </w:t>
      </w:r>
      <w:r w:rsidR="005364D5">
        <w:rPr>
          <w:sz w:val="18"/>
          <w:szCs w:val="18"/>
          <w:lang w:val="en-US"/>
        </w:rPr>
        <w:t>258</w:t>
      </w:r>
      <w:r w:rsidR="00826421" w:rsidRPr="00826421">
        <w:rPr>
          <w:sz w:val="18"/>
          <w:szCs w:val="18"/>
          <w:lang w:val="en-US"/>
        </w:rPr>
        <w:t xml:space="preserve"> for renters of all kinds (</w:t>
      </w:r>
      <w:r w:rsidR="008655D4">
        <w:rPr>
          <w:sz w:val="18"/>
          <w:szCs w:val="18"/>
          <w:lang w:val="en-US"/>
        </w:rPr>
        <w:t>35.9</w:t>
      </w:r>
      <w:r w:rsidR="00826421" w:rsidRPr="00826421">
        <w:rPr>
          <w:sz w:val="18"/>
          <w:szCs w:val="18"/>
          <w:lang w:val="en-US"/>
        </w:rPr>
        <w:t xml:space="preserve">% x </w:t>
      </w:r>
      <w:r w:rsidR="005364D5">
        <w:rPr>
          <w:sz w:val="18"/>
          <w:szCs w:val="18"/>
          <w:lang w:val="en-US"/>
        </w:rPr>
        <w:t>717</w:t>
      </w:r>
      <w:r w:rsidR="00826421" w:rsidRPr="00826421">
        <w:rPr>
          <w:sz w:val="18"/>
          <w:szCs w:val="18"/>
          <w:lang w:val="en-US"/>
        </w:rPr>
        <w:t>), o</w:t>
      </w:r>
      <w:r w:rsidR="008655D4">
        <w:rPr>
          <w:sz w:val="18"/>
          <w:szCs w:val="18"/>
          <w:lang w:val="en-US"/>
        </w:rPr>
        <w:t xml:space="preserve">r </w:t>
      </w:r>
      <w:r w:rsidR="005364D5">
        <w:rPr>
          <w:sz w:val="18"/>
          <w:szCs w:val="18"/>
          <w:lang w:val="en-US"/>
        </w:rPr>
        <w:t>1,029</w:t>
      </w:r>
      <w:r w:rsidR="00826421" w:rsidRPr="00826421">
        <w:rPr>
          <w:sz w:val="18"/>
          <w:szCs w:val="18"/>
          <w:lang w:val="en-US"/>
        </w:rPr>
        <w:t xml:space="preserve"> new specialist homes in total. </w:t>
      </w:r>
    </w:p>
    <w:p w14:paraId="45EA0794" w14:textId="20CC6CED" w:rsidR="00B6164D" w:rsidRPr="009E5856" w:rsidRDefault="00826421">
      <w:pPr>
        <w:widowControl w:val="0"/>
        <w:numPr>
          <w:ilvl w:val="0"/>
          <w:numId w:val="15"/>
        </w:numPr>
        <w:spacing w:before="0" w:after="120"/>
        <w:jc w:val="both"/>
        <w:rPr>
          <w:sz w:val="18"/>
          <w:szCs w:val="18"/>
          <w:lang w:val="en-US"/>
        </w:rPr>
      </w:pPr>
      <w:r w:rsidRPr="00826421">
        <w:rPr>
          <w:sz w:val="18"/>
          <w:szCs w:val="18"/>
          <w:lang w:val="en-US"/>
        </w:rPr>
        <w:t xml:space="preserve">These findings are set out in the table below, based on the assumption that those whose day-to-day activities are limited a lot </w:t>
      </w:r>
      <w:r w:rsidR="0018531C">
        <w:rPr>
          <w:sz w:val="18"/>
          <w:szCs w:val="18"/>
          <w:lang w:val="en-US"/>
        </w:rPr>
        <w:t>may</w:t>
      </w:r>
      <w:r w:rsidR="0018531C" w:rsidRPr="00826421">
        <w:rPr>
          <w:sz w:val="18"/>
          <w:szCs w:val="18"/>
          <w:lang w:val="en-US"/>
        </w:rPr>
        <w:t xml:space="preserve"> </w:t>
      </w:r>
      <w:r w:rsidRPr="00826421">
        <w:rPr>
          <w:sz w:val="18"/>
          <w:szCs w:val="18"/>
          <w:lang w:val="en-US"/>
        </w:rPr>
        <w:t>need housing with care (e.g. extra care housing, with significant on-site services, including potentially medical services), while those with their day to day activities limited only a little may simply need adaptations to their existing homes, or alternatively sheltered or retirement living that can provide some degree of oversight or additional services.</w:t>
      </w:r>
      <w:bookmarkStart w:id="201" w:name="_Ref1031616"/>
      <w:bookmarkStart w:id="202" w:name="_Ref3465769"/>
      <w:r w:rsidR="0018531C">
        <w:rPr>
          <w:sz w:val="18"/>
          <w:szCs w:val="18"/>
          <w:lang w:val="en-US"/>
        </w:rPr>
        <w:t xml:space="preserve"> However, it is important to note that, even those people who have high support or care</w:t>
      </w:r>
      <w:r w:rsidR="00924117">
        <w:rPr>
          <w:sz w:val="18"/>
          <w:szCs w:val="18"/>
          <w:lang w:val="en-US"/>
        </w:rPr>
        <w:t xml:space="preserve"> needs can often be supported to live in their own homes. This is often reflected in policy of local authorities, with explicit aim to reduce the need to commission increasing numbers of care home beds. </w:t>
      </w:r>
    </w:p>
    <w:p w14:paraId="1D82F398" w14:textId="2740CE04" w:rsidR="00826421" w:rsidRPr="00826421" w:rsidRDefault="00826421" w:rsidP="00826421">
      <w:pPr>
        <w:keepNext/>
        <w:spacing w:after="120"/>
        <w:ind w:left="425"/>
        <w:jc w:val="both"/>
        <w:rPr>
          <w:rFonts w:asciiTheme="majorHAnsi" w:hAnsiTheme="majorHAnsi"/>
          <w:b/>
          <w:bCs/>
          <w:color w:val="00B5E2" w:themeColor="accent1"/>
          <w:sz w:val="18"/>
          <w:szCs w:val="18"/>
        </w:rPr>
      </w:pPr>
      <w:bookmarkStart w:id="203" w:name="_Ref4491677"/>
      <w:r w:rsidRPr="00826421">
        <w:rPr>
          <w:rFonts w:asciiTheme="majorHAnsi" w:hAnsiTheme="majorHAnsi"/>
          <w:b/>
          <w:bCs/>
          <w:color w:val="00B5E2" w:themeColor="accent1"/>
          <w:sz w:val="18"/>
          <w:szCs w:val="18"/>
        </w:rPr>
        <w:t xml:space="preserve">Table </w:t>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STYLEREF 1 \s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6</w:t>
      </w:r>
      <w:r w:rsidR="00BA4C32">
        <w:rPr>
          <w:rFonts w:asciiTheme="majorHAnsi" w:hAnsiTheme="majorHAnsi"/>
          <w:b/>
          <w:bCs/>
          <w:color w:val="00B5E2" w:themeColor="accent1"/>
          <w:sz w:val="18"/>
          <w:szCs w:val="18"/>
        </w:rPr>
        <w:fldChar w:fldCharType="end"/>
      </w:r>
      <w:r w:rsidR="00BA4C32">
        <w:rPr>
          <w:rFonts w:asciiTheme="majorHAnsi" w:hAnsiTheme="majorHAnsi"/>
          <w:b/>
          <w:bCs/>
          <w:color w:val="00B5E2" w:themeColor="accent1"/>
          <w:sz w:val="18"/>
          <w:szCs w:val="18"/>
        </w:rPr>
        <w:noBreakHyphen/>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SEQ Table \* ARABIC \s 1 </w:instrText>
      </w:r>
      <w:r w:rsidR="00BA4C32">
        <w:rPr>
          <w:rFonts w:asciiTheme="majorHAnsi" w:hAnsiTheme="majorHAnsi"/>
          <w:b/>
          <w:bCs/>
          <w:color w:val="00B5E2" w:themeColor="accent1"/>
          <w:sz w:val="18"/>
          <w:szCs w:val="18"/>
        </w:rPr>
        <w:fldChar w:fldCharType="separate"/>
      </w:r>
      <w:r w:rsidR="000C64A4">
        <w:rPr>
          <w:rFonts w:asciiTheme="majorHAnsi" w:hAnsiTheme="majorHAnsi"/>
          <w:b/>
          <w:bCs/>
          <w:noProof/>
          <w:color w:val="00B5E2" w:themeColor="accent1"/>
          <w:sz w:val="18"/>
          <w:szCs w:val="18"/>
        </w:rPr>
        <w:t>6</w:t>
      </w:r>
      <w:r w:rsidR="00BA4C32">
        <w:rPr>
          <w:rFonts w:asciiTheme="majorHAnsi" w:hAnsiTheme="majorHAnsi"/>
          <w:b/>
          <w:bCs/>
          <w:color w:val="00B5E2" w:themeColor="accent1"/>
          <w:sz w:val="18"/>
          <w:szCs w:val="18"/>
        </w:rPr>
        <w:fldChar w:fldCharType="end"/>
      </w:r>
      <w:bookmarkEnd w:id="201"/>
      <w:bookmarkEnd w:id="202"/>
      <w:bookmarkEnd w:id="203"/>
      <w:r w:rsidRPr="00826421">
        <w:rPr>
          <w:rFonts w:asciiTheme="majorHAnsi" w:hAnsiTheme="majorHAnsi"/>
          <w:b/>
          <w:bCs/>
          <w:color w:val="00B5E2" w:themeColor="accent1"/>
          <w:sz w:val="18"/>
          <w:szCs w:val="18"/>
        </w:rPr>
        <w:t xml:space="preserve">: AECOM estimate of specialist housing need in </w:t>
      </w:r>
      <w:r w:rsidR="0015105E">
        <w:rPr>
          <w:rFonts w:asciiTheme="majorHAnsi" w:hAnsiTheme="majorHAnsi"/>
          <w:b/>
          <w:bCs/>
          <w:color w:val="00B5E2" w:themeColor="accent1"/>
          <w:sz w:val="18"/>
          <w:szCs w:val="18"/>
        </w:rPr>
        <w:t>Weymouth</w:t>
      </w:r>
      <w:r w:rsidRPr="00826421">
        <w:rPr>
          <w:rFonts w:asciiTheme="majorHAnsi" w:hAnsiTheme="majorHAnsi"/>
          <w:b/>
          <w:bCs/>
          <w:color w:val="00B5E2" w:themeColor="accent1"/>
          <w:sz w:val="18"/>
          <w:szCs w:val="18"/>
        </w:rPr>
        <w:t xml:space="preserve"> by the end of the Plan period</w:t>
      </w:r>
    </w:p>
    <w:tbl>
      <w:tblPr>
        <w:tblStyle w:val="TableGrid40"/>
        <w:tblW w:w="4791" w:type="pct"/>
        <w:tblInd w:w="421" w:type="dxa"/>
        <w:tblLook w:val="04A0" w:firstRow="1" w:lastRow="0" w:firstColumn="1" w:lastColumn="0" w:noHBand="0" w:noVBand="1"/>
      </w:tblPr>
      <w:tblGrid>
        <w:gridCol w:w="1340"/>
        <w:gridCol w:w="3903"/>
        <w:gridCol w:w="3131"/>
        <w:gridCol w:w="1039"/>
      </w:tblGrid>
      <w:tr w:rsidR="00826421" w:rsidRPr="00826421" w14:paraId="68B2FAD3" w14:textId="77777777" w:rsidTr="00947A30">
        <w:trPr>
          <w:cnfStyle w:val="100000000000" w:firstRow="1" w:lastRow="0" w:firstColumn="0" w:lastColumn="0" w:oddVBand="0" w:evenVBand="0" w:oddHBand="0" w:evenHBand="0" w:firstRowFirstColumn="0" w:firstRowLastColumn="0" w:lastRowFirstColumn="0" w:lastRowLastColumn="0"/>
          <w:trHeight w:val="415"/>
        </w:trPr>
        <w:tc>
          <w:tcPr>
            <w:tcW w:w="712" w:type="pct"/>
            <w:shd w:val="clear" w:color="auto" w:fill="000000" w:themeFill="text1"/>
            <w:vAlign w:val="center"/>
          </w:tcPr>
          <w:p w14:paraId="43C7C418" w14:textId="77777777" w:rsidR="00826421" w:rsidRPr="00826421" w:rsidRDefault="00826421" w:rsidP="00826421">
            <w:pPr>
              <w:jc w:val="both"/>
              <w:rPr>
                <w:color w:val="FFFFFF" w:themeColor="background1"/>
                <w:sz w:val="18"/>
                <w:szCs w:val="18"/>
              </w:rPr>
            </w:pPr>
            <w:r w:rsidRPr="00826421">
              <w:rPr>
                <w:b/>
                <w:color w:val="FFFFFF" w:themeColor="background1"/>
                <w:sz w:val="18"/>
                <w:szCs w:val="18"/>
              </w:rPr>
              <w:t>Type</w:t>
            </w:r>
          </w:p>
        </w:tc>
        <w:tc>
          <w:tcPr>
            <w:tcW w:w="2073" w:type="pct"/>
            <w:shd w:val="clear" w:color="auto" w:fill="000000" w:themeFill="text1"/>
            <w:vAlign w:val="center"/>
          </w:tcPr>
          <w:p w14:paraId="61BA9732" w14:textId="77777777" w:rsidR="00826421" w:rsidRPr="00826421" w:rsidRDefault="00826421" w:rsidP="00826421">
            <w:pPr>
              <w:jc w:val="both"/>
              <w:rPr>
                <w:color w:val="FFFFFF" w:themeColor="background1"/>
                <w:sz w:val="18"/>
                <w:szCs w:val="18"/>
              </w:rPr>
            </w:pPr>
            <w:r w:rsidRPr="00826421">
              <w:rPr>
                <w:b/>
                <w:color w:val="FFFFFF" w:themeColor="background1"/>
                <w:sz w:val="18"/>
                <w:szCs w:val="18"/>
              </w:rPr>
              <w:t>Affordable</w:t>
            </w:r>
          </w:p>
        </w:tc>
        <w:tc>
          <w:tcPr>
            <w:tcW w:w="1663" w:type="pct"/>
            <w:shd w:val="clear" w:color="auto" w:fill="000000" w:themeFill="text1"/>
            <w:vAlign w:val="center"/>
          </w:tcPr>
          <w:p w14:paraId="4E474822" w14:textId="77777777" w:rsidR="00826421" w:rsidRPr="00826421" w:rsidRDefault="00826421" w:rsidP="00826421">
            <w:pPr>
              <w:jc w:val="both"/>
              <w:rPr>
                <w:color w:val="FFFFFF" w:themeColor="background1"/>
                <w:sz w:val="18"/>
                <w:szCs w:val="18"/>
              </w:rPr>
            </w:pPr>
            <w:r w:rsidRPr="00826421">
              <w:rPr>
                <w:b/>
                <w:color w:val="FFFFFF" w:themeColor="background1"/>
                <w:sz w:val="18"/>
                <w:szCs w:val="18"/>
              </w:rPr>
              <w:t>Market</w:t>
            </w:r>
          </w:p>
        </w:tc>
        <w:tc>
          <w:tcPr>
            <w:tcW w:w="552" w:type="pct"/>
            <w:shd w:val="clear" w:color="auto" w:fill="000000" w:themeFill="text1"/>
            <w:vAlign w:val="center"/>
          </w:tcPr>
          <w:p w14:paraId="1FA71A91" w14:textId="77777777" w:rsidR="00826421" w:rsidRPr="00826421" w:rsidRDefault="00826421" w:rsidP="00826421">
            <w:pPr>
              <w:jc w:val="both"/>
              <w:rPr>
                <w:color w:val="FFFFFF" w:themeColor="background1"/>
                <w:sz w:val="18"/>
                <w:szCs w:val="18"/>
              </w:rPr>
            </w:pPr>
            <w:r w:rsidRPr="00826421">
              <w:rPr>
                <w:b/>
                <w:color w:val="FFFFFF" w:themeColor="background1"/>
                <w:sz w:val="18"/>
                <w:szCs w:val="18"/>
              </w:rPr>
              <w:t>Total (rounded)</w:t>
            </w:r>
          </w:p>
        </w:tc>
      </w:tr>
      <w:tr w:rsidR="00826421" w:rsidRPr="00826421" w14:paraId="174927CE" w14:textId="77777777" w:rsidTr="00947A30">
        <w:trPr>
          <w:trHeight w:val="299"/>
        </w:trPr>
        <w:tc>
          <w:tcPr>
            <w:tcW w:w="712" w:type="pct"/>
            <w:vMerge w:val="restart"/>
            <w:vAlign w:val="center"/>
          </w:tcPr>
          <w:p w14:paraId="354D5BCD" w14:textId="77777777" w:rsidR="00826421" w:rsidRPr="00826421" w:rsidRDefault="00826421" w:rsidP="00832DE0">
            <w:pPr>
              <w:rPr>
                <w:sz w:val="18"/>
                <w:szCs w:val="18"/>
              </w:rPr>
            </w:pPr>
            <w:r w:rsidRPr="00826421">
              <w:rPr>
                <w:sz w:val="18"/>
                <w:szCs w:val="18"/>
              </w:rPr>
              <w:t>Housing with care (e.g. extra care)</w:t>
            </w:r>
          </w:p>
        </w:tc>
        <w:tc>
          <w:tcPr>
            <w:tcW w:w="2073" w:type="pct"/>
            <w:vAlign w:val="center"/>
          </w:tcPr>
          <w:p w14:paraId="73C79791" w14:textId="77777777" w:rsidR="00826421" w:rsidRPr="00826421" w:rsidRDefault="00826421" w:rsidP="00826421">
            <w:pPr>
              <w:jc w:val="both"/>
              <w:rPr>
                <w:sz w:val="18"/>
                <w:szCs w:val="18"/>
              </w:rPr>
            </w:pPr>
            <w:r w:rsidRPr="00826421">
              <w:rPr>
                <w:sz w:val="18"/>
                <w:szCs w:val="18"/>
              </w:rPr>
              <w:t>Multiply the number of people across all rented tenures (not just social rent as those aged 65+ who need to rent are overwhelmingly likely to need Affordable Housing) by the percent of occupiers in that tenure who have day to day activity limitations limited a lot</w:t>
            </w:r>
          </w:p>
        </w:tc>
        <w:tc>
          <w:tcPr>
            <w:tcW w:w="1663" w:type="pct"/>
            <w:vAlign w:val="center"/>
          </w:tcPr>
          <w:p w14:paraId="4B0E9C8C" w14:textId="77777777" w:rsidR="00826421" w:rsidRPr="00826421" w:rsidRDefault="00826421" w:rsidP="00826421">
            <w:pPr>
              <w:jc w:val="both"/>
              <w:rPr>
                <w:sz w:val="18"/>
                <w:szCs w:val="18"/>
              </w:rPr>
            </w:pPr>
            <w:r w:rsidRPr="00826421">
              <w:rPr>
                <w:sz w:val="18"/>
                <w:szCs w:val="18"/>
              </w:rPr>
              <w:t>Multiply the number of people across all owner-occupied housing by the percent of occupiers in that tenure who have day to day activity limitations limited a lot</w:t>
            </w:r>
          </w:p>
        </w:tc>
        <w:tc>
          <w:tcPr>
            <w:tcW w:w="552" w:type="pct"/>
            <w:vMerge w:val="restart"/>
            <w:vAlign w:val="center"/>
          </w:tcPr>
          <w:p w14:paraId="0A987EE7" w14:textId="6B082BC3" w:rsidR="00826421" w:rsidRPr="00826421" w:rsidRDefault="005364D5" w:rsidP="00826421">
            <w:pPr>
              <w:jc w:val="both"/>
              <w:rPr>
                <w:sz w:val="18"/>
                <w:szCs w:val="18"/>
              </w:rPr>
            </w:pPr>
            <w:r>
              <w:rPr>
                <w:sz w:val="18"/>
                <w:szCs w:val="18"/>
              </w:rPr>
              <w:t>1,029</w:t>
            </w:r>
          </w:p>
        </w:tc>
      </w:tr>
      <w:tr w:rsidR="00826421" w:rsidRPr="00826421" w14:paraId="14560606" w14:textId="77777777" w:rsidTr="00947A30">
        <w:trPr>
          <w:trHeight w:val="169"/>
        </w:trPr>
        <w:tc>
          <w:tcPr>
            <w:tcW w:w="712" w:type="pct"/>
            <w:vMerge/>
            <w:vAlign w:val="center"/>
          </w:tcPr>
          <w:p w14:paraId="6C88D30A" w14:textId="77777777" w:rsidR="00826421" w:rsidRPr="00826421" w:rsidRDefault="00826421" w:rsidP="00832DE0">
            <w:pPr>
              <w:rPr>
                <w:sz w:val="18"/>
                <w:szCs w:val="18"/>
              </w:rPr>
            </w:pPr>
          </w:p>
        </w:tc>
        <w:tc>
          <w:tcPr>
            <w:tcW w:w="2073" w:type="pct"/>
            <w:vAlign w:val="center"/>
          </w:tcPr>
          <w:p w14:paraId="5815123B" w14:textId="3383C8AF" w:rsidR="00826421" w:rsidRPr="00826421" w:rsidRDefault="005364D5" w:rsidP="00826421">
            <w:pPr>
              <w:jc w:val="both"/>
              <w:rPr>
                <w:sz w:val="18"/>
                <w:szCs w:val="18"/>
              </w:rPr>
            </w:pPr>
            <w:r>
              <w:rPr>
                <w:sz w:val="18"/>
                <w:szCs w:val="18"/>
              </w:rPr>
              <w:t>258</w:t>
            </w:r>
          </w:p>
        </w:tc>
        <w:tc>
          <w:tcPr>
            <w:tcW w:w="1663" w:type="pct"/>
            <w:vAlign w:val="center"/>
          </w:tcPr>
          <w:p w14:paraId="3B6934FB" w14:textId="37B140AB" w:rsidR="00826421" w:rsidRPr="00826421" w:rsidRDefault="005364D5" w:rsidP="00826421">
            <w:pPr>
              <w:jc w:val="both"/>
              <w:rPr>
                <w:sz w:val="18"/>
                <w:szCs w:val="18"/>
              </w:rPr>
            </w:pPr>
            <w:r>
              <w:rPr>
                <w:sz w:val="18"/>
                <w:szCs w:val="18"/>
              </w:rPr>
              <w:t>772</w:t>
            </w:r>
          </w:p>
        </w:tc>
        <w:tc>
          <w:tcPr>
            <w:tcW w:w="552" w:type="pct"/>
            <w:vMerge/>
            <w:vAlign w:val="center"/>
          </w:tcPr>
          <w:p w14:paraId="4E2248F7" w14:textId="77777777" w:rsidR="00826421" w:rsidRPr="00826421" w:rsidRDefault="00826421" w:rsidP="00826421">
            <w:pPr>
              <w:jc w:val="both"/>
              <w:rPr>
                <w:sz w:val="18"/>
                <w:szCs w:val="18"/>
              </w:rPr>
            </w:pPr>
          </w:p>
        </w:tc>
      </w:tr>
      <w:tr w:rsidR="00826421" w:rsidRPr="00826421" w14:paraId="6AB7E6AE" w14:textId="77777777" w:rsidTr="00947A30">
        <w:trPr>
          <w:trHeight w:val="185"/>
        </w:trPr>
        <w:tc>
          <w:tcPr>
            <w:tcW w:w="712" w:type="pct"/>
            <w:vMerge w:val="restart"/>
            <w:vAlign w:val="center"/>
          </w:tcPr>
          <w:p w14:paraId="4331C2EF" w14:textId="77777777" w:rsidR="00826421" w:rsidRPr="00826421" w:rsidRDefault="00826421" w:rsidP="00832DE0">
            <w:pPr>
              <w:rPr>
                <w:sz w:val="18"/>
                <w:szCs w:val="18"/>
              </w:rPr>
            </w:pPr>
            <w:r w:rsidRPr="00826421">
              <w:rPr>
                <w:sz w:val="18"/>
                <w:szCs w:val="18"/>
              </w:rPr>
              <w:t>Adaptations, sheltered, or retirement living</w:t>
            </w:r>
          </w:p>
        </w:tc>
        <w:tc>
          <w:tcPr>
            <w:tcW w:w="2073" w:type="pct"/>
            <w:vAlign w:val="center"/>
          </w:tcPr>
          <w:p w14:paraId="671031D9" w14:textId="77777777" w:rsidR="00826421" w:rsidRPr="00826421" w:rsidRDefault="00826421" w:rsidP="00826421">
            <w:pPr>
              <w:jc w:val="both"/>
              <w:rPr>
                <w:sz w:val="18"/>
                <w:szCs w:val="18"/>
              </w:rPr>
            </w:pPr>
            <w:r w:rsidRPr="00826421">
              <w:rPr>
                <w:sz w:val="18"/>
                <w:szCs w:val="18"/>
              </w:rPr>
              <w:t>Multiply the number of people across all rented housing by the percent of occupiers in that tenure who have day to day activity limitations limited a little</w:t>
            </w:r>
          </w:p>
        </w:tc>
        <w:tc>
          <w:tcPr>
            <w:tcW w:w="1663" w:type="pct"/>
            <w:vAlign w:val="center"/>
          </w:tcPr>
          <w:p w14:paraId="735548AA" w14:textId="77777777" w:rsidR="00826421" w:rsidRPr="00826421" w:rsidRDefault="00826421" w:rsidP="00826421">
            <w:pPr>
              <w:jc w:val="both"/>
              <w:rPr>
                <w:sz w:val="18"/>
                <w:szCs w:val="18"/>
              </w:rPr>
            </w:pPr>
            <w:r w:rsidRPr="00826421">
              <w:rPr>
                <w:sz w:val="18"/>
                <w:szCs w:val="18"/>
              </w:rPr>
              <w:t>Multiply the number of people across all owned housing by the percent of occupiers in that tenure who have day to day activity limitations limited a little</w:t>
            </w:r>
          </w:p>
        </w:tc>
        <w:tc>
          <w:tcPr>
            <w:tcW w:w="552" w:type="pct"/>
            <w:vMerge w:val="restart"/>
            <w:vAlign w:val="center"/>
          </w:tcPr>
          <w:p w14:paraId="29D1A51C" w14:textId="260AA608" w:rsidR="00826421" w:rsidRPr="00826421" w:rsidRDefault="005364D5" w:rsidP="00826421">
            <w:pPr>
              <w:jc w:val="both"/>
              <w:rPr>
                <w:sz w:val="18"/>
                <w:szCs w:val="18"/>
              </w:rPr>
            </w:pPr>
            <w:r>
              <w:rPr>
                <w:sz w:val="18"/>
                <w:szCs w:val="18"/>
              </w:rPr>
              <w:t>1,262</w:t>
            </w:r>
          </w:p>
        </w:tc>
      </w:tr>
      <w:tr w:rsidR="00826421" w:rsidRPr="00826421" w14:paraId="3B854268" w14:textId="77777777" w:rsidTr="00947A30">
        <w:trPr>
          <w:trHeight w:val="185"/>
        </w:trPr>
        <w:tc>
          <w:tcPr>
            <w:tcW w:w="712" w:type="pct"/>
            <w:vMerge/>
            <w:vAlign w:val="center"/>
          </w:tcPr>
          <w:p w14:paraId="2C19944D" w14:textId="77777777" w:rsidR="00826421" w:rsidRPr="00826421" w:rsidRDefault="00826421" w:rsidP="00826421">
            <w:pPr>
              <w:jc w:val="both"/>
              <w:rPr>
                <w:sz w:val="18"/>
                <w:szCs w:val="18"/>
              </w:rPr>
            </w:pPr>
          </w:p>
        </w:tc>
        <w:tc>
          <w:tcPr>
            <w:tcW w:w="2073" w:type="pct"/>
            <w:vAlign w:val="center"/>
          </w:tcPr>
          <w:p w14:paraId="6C5B27CF" w14:textId="01904672" w:rsidR="00826421" w:rsidRPr="00826421" w:rsidRDefault="005364D5" w:rsidP="00826421">
            <w:pPr>
              <w:jc w:val="both"/>
              <w:rPr>
                <w:sz w:val="18"/>
                <w:szCs w:val="18"/>
              </w:rPr>
            </w:pPr>
            <w:r>
              <w:rPr>
                <w:sz w:val="18"/>
                <w:szCs w:val="18"/>
              </w:rPr>
              <w:t>218</w:t>
            </w:r>
          </w:p>
        </w:tc>
        <w:tc>
          <w:tcPr>
            <w:tcW w:w="1663" w:type="pct"/>
            <w:vAlign w:val="center"/>
          </w:tcPr>
          <w:p w14:paraId="0013283D" w14:textId="5621B778" w:rsidR="00826421" w:rsidRPr="00826421" w:rsidRDefault="005364D5" w:rsidP="00826421">
            <w:pPr>
              <w:jc w:val="both"/>
              <w:rPr>
                <w:sz w:val="18"/>
                <w:szCs w:val="18"/>
              </w:rPr>
            </w:pPr>
            <w:r>
              <w:rPr>
                <w:sz w:val="18"/>
                <w:szCs w:val="18"/>
              </w:rPr>
              <w:t>1,043</w:t>
            </w:r>
          </w:p>
        </w:tc>
        <w:tc>
          <w:tcPr>
            <w:tcW w:w="552" w:type="pct"/>
            <w:vMerge/>
            <w:vAlign w:val="center"/>
          </w:tcPr>
          <w:p w14:paraId="79FB5F55" w14:textId="77777777" w:rsidR="00826421" w:rsidRPr="00826421" w:rsidRDefault="00826421" w:rsidP="00826421">
            <w:pPr>
              <w:jc w:val="both"/>
              <w:rPr>
                <w:b/>
                <w:sz w:val="18"/>
                <w:szCs w:val="18"/>
              </w:rPr>
            </w:pPr>
          </w:p>
        </w:tc>
      </w:tr>
      <w:tr w:rsidR="00826421" w:rsidRPr="00826421" w14:paraId="417CB6C3" w14:textId="77777777" w:rsidTr="00947A30">
        <w:trPr>
          <w:trHeight w:val="185"/>
        </w:trPr>
        <w:tc>
          <w:tcPr>
            <w:tcW w:w="712" w:type="pct"/>
            <w:tcBorders>
              <w:bottom w:val="single" w:sz="4" w:space="0" w:color="auto"/>
            </w:tcBorders>
            <w:vAlign w:val="center"/>
          </w:tcPr>
          <w:p w14:paraId="02516115" w14:textId="77777777" w:rsidR="00826421" w:rsidRPr="00826421" w:rsidRDefault="00826421" w:rsidP="00826421">
            <w:pPr>
              <w:jc w:val="both"/>
              <w:rPr>
                <w:sz w:val="18"/>
                <w:szCs w:val="18"/>
              </w:rPr>
            </w:pPr>
            <w:r w:rsidRPr="00826421">
              <w:rPr>
                <w:b/>
                <w:sz w:val="18"/>
                <w:szCs w:val="18"/>
              </w:rPr>
              <w:t>Total</w:t>
            </w:r>
          </w:p>
        </w:tc>
        <w:tc>
          <w:tcPr>
            <w:tcW w:w="2073" w:type="pct"/>
            <w:tcBorders>
              <w:bottom w:val="single" w:sz="4" w:space="0" w:color="auto"/>
            </w:tcBorders>
            <w:vAlign w:val="center"/>
          </w:tcPr>
          <w:p w14:paraId="0706192E" w14:textId="66885DE1" w:rsidR="00826421" w:rsidRPr="00826421" w:rsidRDefault="005364D5" w:rsidP="00826421">
            <w:pPr>
              <w:jc w:val="both"/>
              <w:rPr>
                <w:sz w:val="18"/>
                <w:szCs w:val="18"/>
              </w:rPr>
            </w:pPr>
            <w:r>
              <w:rPr>
                <w:b/>
                <w:sz w:val="18"/>
                <w:szCs w:val="18"/>
              </w:rPr>
              <w:t>476</w:t>
            </w:r>
          </w:p>
        </w:tc>
        <w:tc>
          <w:tcPr>
            <w:tcW w:w="1663" w:type="pct"/>
            <w:tcBorders>
              <w:bottom w:val="single" w:sz="4" w:space="0" w:color="auto"/>
            </w:tcBorders>
            <w:vAlign w:val="center"/>
          </w:tcPr>
          <w:p w14:paraId="1000B62F" w14:textId="18867CD2" w:rsidR="00826421" w:rsidRPr="00826421" w:rsidRDefault="005364D5" w:rsidP="00826421">
            <w:pPr>
              <w:jc w:val="both"/>
              <w:rPr>
                <w:sz w:val="18"/>
                <w:szCs w:val="18"/>
              </w:rPr>
            </w:pPr>
            <w:r>
              <w:rPr>
                <w:b/>
                <w:sz w:val="18"/>
                <w:szCs w:val="18"/>
              </w:rPr>
              <w:t>1,815</w:t>
            </w:r>
          </w:p>
        </w:tc>
        <w:tc>
          <w:tcPr>
            <w:tcW w:w="552" w:type="pct"/>
            <w:tcBorders>
              <w:bottom w:val="single" w:sz="4" w:space="0" w:color="auto"/>
            </w:tcBorders>
            <w:vAlign w:val="center"/>
          </w:tcPr>
          <w:p w14:paraId="0659E396" w14:textId="7A6F5655" w:rsidR="00826421" w:rsidRPr="00826421" w:rsidRDefault="005364D5" w:rsidP="00826421">
            <w:pPr>
              <w:jc w:val="both"/>
              <w:rPr>
                <w:sz w:val="18"/>
                <w:szCs w:val="18"/>
              </w:rPr>
            </w:pPr>
            <w:r>
              <w:rPr>
                <w:b/>
                <w:sz w:val="18"/>
                <w:szCs w:val="18"/>
              </w:rPr>
              <w:t>2,291</w:t>
            </w:r>
          </w:p>
        </w:tc>
      </w:tr>
    </w:tbl>
    <w:p w14:paraId="687C410C" w14:textId="77777777" w:rsidR="00826421" w:rsidRPr="00826421" w:rsidRDefault="00826421" w:rsidP="00616B01">
      <w:pPr>
        <w:spacing w:after="120"/>
        <w:ind w:left="425"/>
        <w:jc w:val="both"/>
        <w:rPr>
          <w:i/>
          <w:sz w:val="18"/>
          <w:szCs w:val="18"/>
          <w:lang w:val="en-US"/>
        </w:rPr>
      </w:pPr>
      <w:r w:rsidRPr="00826421">
        <w:rPr>
          <w:i/>
          <w:sz w:val="18"/>
          <w:szCs w:val="18"/>
          <w:lang w:val="en-US"/>
        </w:rPr>
        <w:t>Source: Census 2011, AECOM Calculations</w:t>
      </w:r>
    </w:p>
    <w:p w14:paraId="01D86897" w14:textId="061C04E7" w:rsidR="00826421" w:rsidRPr="00826421" w:rsidRDefault="00826421" w:rsidP="00826421">
      <w:pPr>
        <w:widowControl w:val="0"/>
        <w:numPr>
          <w:ilvl w:val="0"/>
          <w:numId w:val="15"/>
        </w:numPr>
        <w:spacing w:before="0" w:after="120"/>
        <w:jc w:val="both"/>
        <w:rPr>
          <w:sz w:val="18"/>
          <w:szCs w:val="18"/>
          <w:lang w:val="en-US"/>
        </w:rPr>
      </w:pPr>
      <w:r w:rsidRPr="00826421">
        <w:rPr>
          <w:sz w:val="18"/>
          <w:szCs w:val="18"/>
          <w:lang w:val="en-US"/>
        </w:rPr>
        <w:t xml:space="preserve">The number of households falling into potential need for specialist accommodation is therefore </w:t>
      </w:r>
      <w:r w:rsidR="006E76DE">
        <w:rPr>
          <w:sz w:val="18"/>
          <w:szCs w:val="18"/>
          <w:lang w:val="en-US"/>
        </w:rPr>
        <w:t>1,029</w:t>
      </w:r>
      <w:r w:rsidRPr="00826421">
        <w:rPr>
          <w:sz w:val="18"/>
          <w:szCs w:val="18"/>
          <w:lang w:val="en-US"/>
        </w:rPr>
        <w:t xml:space="preserve">, which is </w:t>
      </w:r>
      <w:r w:rsidR="006E76DE">
        <w:rPr>
          <w:sz w:val="18"/>
          <w:szCs w:val="18"/>
          <w:lang w:val="en-US"/>
        </w:rPr>
        <w:t>11.2</w:t>
      </w:r>
      <w:r w:rsidRPr="00826421">
        <w:rPr>
          <w:sz w:val="18"/>
          <w:szCs w:val="18"/>
          <w:lang w:val="en-US"/>
        </w:rPr>
        <w:t xml:space="preserve">% of the </w:t>
      </w:r>
      <w:r w:rsidR="008504FB">
        <w:rPr>
          <w:sz w:val="18"/>
          <w:szCs w:val="18"/>
          <w:lang w:val="en-US"/>
        </w:rPr>
        <w:t>9,213</w:t>
      </w:r>
      <w:r w:rsidRPr="00826421">
        <w:rPr>
          <w:sz w:val="18"/>
          <w:szCs w:val="18"/>
          <w:lang w:val="en-US"/>
        </w:rPr>
        <w:t xml:space="preserve"> households in total aged 75 and above projected to live in </w:t>
      </w:r>
      <w:r w:rsidR="0015105E">
        <w:rPr>
          <w:sz w:val="18"/>
          <w:szCs w:val="18"/>
          <w:lang w:val="en-US"/>
        </w:rPr>
        <w:t>Weymouth</w:t>
      </w:r>
      <w:r w:rsidRPr="00826421">
        <w:rPr>
          <w:sz w:val="18"/>
          <w:szCs w:val="18"/>
          <w:lang w:val="en-US"/>
        </w:rPr>
        <w:t xml:space="preserve"> by the end of the Plan period.</w:t>
      </w:r>
    </w:p>
    <w:p w14:paraId="66312CAA" w14:textId="77777777" w:rsidR="00826421" w:rsidRPr="00826421" w:rsidRDefault="00826421" w:rsidP="008C5248">
      <w:pPr>
        <w:pStyle w:val="Heading3"/>
      </w:pPr>
      <w:bookmarkStart w:id="204" w:name="_Toc13235060"/>
      <w:bookmarkStart w:id="205" w:name="_Toc64026824"/>
      <w:r w:rsidRPr="00826421">
        <w:t>Housing LIN-recommended provision</w:t>
      </w:r>
      <w:bookmarkEnd w:id="204"/>
      <w:bookmarkEnd w:id="205"/>
    </w:p>
    <w:p w14:paraId="078B5E5D" w14:textId="1286B9DD"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 xml:space="preserve">It is worth comparing these findings with the recommendations of the Housing Learning and Improvement Network (HLIN), </w:t>
      </w:r>
      <w:r w:rsidR="00924117">
        <w:rPr>
          <w:sz w:val="18"/>
          <w:szCs w:val="18"/>
          <w:lang w:val="en-US"/>
        </w:rPr>
        <w:t>one of the respected models for</w:t>
      </w:r>
      <w:r w:rsidRPr="00826421">
        <w:rPr>
          <w:sz w:val="18"/>
          <w:szCs w:val="18"/>
          <w:lang w:val="en-US"/>
        </w:rPr>
        <w:t xml:space="preserve"> plan</w:t>
      </w:r>
      <w:r w:rsidR="00924117">
        <w:rPr>
          <w:sz w:val="18"/>
          <w:szCs w:val="18"/>
          <w:lang w:val="en-US"/>
        </w:rPr>
        <w:t>ning</w:t>
      </w:r>
      <w:r w:rsidRPr="00826421">
        <w:rPr>
          <w:sz w:val="18"/>
          <w:szCs w:val="18"/>
          <w:lang w:val="en-US"/>
        </w:rPr>
        <w:t xml:space="preserve"> for the housing needs of </w:t>
      </w:r>
      <w:r w:rsidR="00924117">
        <w:rPr>
          <w:sz w:val="18"/>
          <w:szCs w:val="18"/>
          <w:lang w:val="en-US"/>
        </w:rPr>
        <w:t>older people</w:t>
      </w:r>
      <w:r w:rsidRPr="00826421">
        <w:rPr>
          <w:sz w:val="18"/>
          <w:szCs w:val="18"/>
          <w:lang w:val="en-US"/>
        </w:rPr>
        <w:t xml:space="preserve">. In </w:t>
      </w:r>
      <w:r w:rsidRPr="00826421">
        <w:rPr>
          <w:color w:val="FF0000"/>
          <w:sz w:val="18"/>
          <w:szCs w:val="18"/>
          <w:lang w:val="en-US"/>
        </w:rPr>
        <w:fldChar w:fldCharType="begin"/>
      </w:r>
      <w:r w:rsidRPr="00826421">
        <w:rPr>
          <w:sz w:val="18"/>
          <w:szCs w:val="18"/>
          <w:lang w:val="en-US"/>
        </w:rPr>
        <w:instrText xml:space="preserve"> REF _Ref945316 \h </w:instrText>
      </w:r>
      <w:r w:rsidRPr="00826421">
        <w:rPr>
          <w:color w:val="FF0000"/>
          <w:sz w:val="18"/>
          <w:szCs w:val="18"/>
          <w:lang w:val="en-US"/>
        </w:rPr>
        <w:instrText xml:space="preserve"> \* MERGEFORMAT </w:instrText>
      </w:r>
      <w:r w:rsidRPr="00826421">
        <w:rPr>
          <w:color w:val="FF0000"/>
          <w:sz w:val="18"/>
          <w:szCs w:val="18"/>
          <w:lang w:val="en-US"/>
        </w:rPr>
      </w:r>
      <w:r w:rsidRPr="00826421">
        <w:rPr>
          <w:color w:val="FF0000"/>
          <w:sz w:val="18"/>
          <w:szCs w:val="18"/>
          <w:lang w:val="en-US"/>
        </w:rPr>
        <w:fldChar w:fldCharType="separate"/>
      </w:r>
      <w:r w:rsidR="000C64A4" w:rsidRPr="00832DE0">
        <w:rPr>
          <w:sz w:val="18"/>
          <w:szCs w:val="18"/>
          <w:lang w:val="en-US"/>
        </w:rPr>
        <w:t xml:space="preserve">Table </w:t>
      </w:r>
      <w:r w:rsidR="000C64A4" w:rsidRPr="00832DE0">
        <w:rPr>
          <w:noProof/>
          <w:sz w:val="18"/>
          <w:szCs w:val="18"/>
          <w:lang w:val="en-US"/>
        </w:rPr>
        <w:t>6</w:t>
      </w:r>
      <w:r w:rsidR="000C64A4" w:rsidRPr="00832DE0">
        <w:rPr>
          <w:noProof/>
          <w:sz w:val="18"/>
          <w:szCs w:val="18"/>
          <w:lang w:val="en-US"/>
        </w:rPr>
        <w:noBreakHyphen/>
        <w:t>7</w:t>
      </w:r>
      <w:r w:rsidRPr="00826421">
        <w:rPr>
          <w:color w:val="FF0000"/>
          <w:sz w:val="18"/>
          <w:szCs w:val="18"/>
          <w:lang w:val="en-US"/>
        </w:rPr>
        <w:fldChar w:fldCharType="end"/>
      </w:r>
      <w:r w:rsidRPr="00826421">
        <w:rPr>
          <w:color w:val="FF0000"/>
          <w:sz w:val="18"/>
          <w:szCs w:val="18"/>
          <w:lang w:val="en-US"/>
        </w:rPr>
        <w:t xml:space="preserve"> </w:t>
      </w:r>
      <w:r w:rsidRPr="00826421">
        <w:rPr>
          <w:sz w:val="18"/>
          <w:szCs w:val="18"/>
          <w:lang w:val="en-US"/>
        </w:rPr>
        <w:t xml:space="preserve">below we reproduce the key table from their Strategic Housing for Older People (SHOP) toolkit. The table serves as a guide, based on best practice research, to the numbers of specialist dwellings for older people that should be provided given the increase in their numbers over the Plan period, and how these should be split into the different tenures. </w:t>
      </w:r>
    </w:p>
    <w:p w14:paraId="08AFCFC9" w14:textId="55950BEE" w:rsidR="00826421" w:rsidRPr="00826421" w:rsidRDefault="00826421" w:rsidP="00826421">
      <w:pPr>
        <w:keepNext/>
        <w:spacing w:after="120"/>
        <w:ind w:left="425"/>
        <w:jc w:val="both"/>
        <w:rPr>
          <w:rFonts w:asciiTheme="majorHAnsi" w:hAnsiTheme="majorHAnsi"/>
          <w:b/>
          <w:bCs/>
          <w:color w:val="00B5E2" w:themeColor="accent1"/>
          <w:sz w:val="18"/>
          <w:szCs w:val="18"/>
        </w:rPr>
      </w:pPr>
      <w:bookmarkStart w:id="206" w:name="_Ref945316"/>
      <w:r w:rsidRPr="00826421">
        <w:rPr>
          <w:rFonts w:asciiTheme="majorHAnsi" w:hAnsiTheme="majorHAnsi"/>
          <w:b/>
          <w:bCs/>
          <w:color w:val="00B5E2" w:themeColor="accent1"/>
          <w:sz w:val="18"/>
          <w:szCs w:val="18"/>
        </w:rPr>
        <w:t xml:space="preserve">Table </w:t>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STYLEREF 1 \s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6</w:t>
      </w:r>
      <w:r w:rsidR="00BA4C32">
        <w:rPr>
          <w:rFonts w:asciiTheme="majorHAnsi" w:hAnsiTheme="majorHAnsi"/>
          <w:b/>
          <w:bCs/>
          <w:color w:val="00B5E2" w:themeColor="accent1"/>
          <w:sz w:val="18"/>
          <w:szCs w:val="18"/>
        </w:rPr>
        <w:fldChar w:fldCharType="end"/>
      </w:r>
      <w:r w:rsidR="00BA4C32">
        <w:rPr>
          <w:rFonts w:asciiTheme="majorHAnsi" w:hAnsiTheme="majorHAnsi"/>
          <w:b/>
          <w:bCs/>
          <w:color w:val="00B5E2" w:themeColor="accent1"/>
          <w:sz w:val="18"/>
          <w:szCs w:val="18"/>
        </w:rPr>
        <w:noBreakHyphen/>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SEQ Table \* ARABIC \s 1 </w:instrText>
      </w:r>
      <w:r w:rsidR="00BA4C32">
        <w:rPr>
          <w:rFonts w:asciiTheme="majorHAnsi" w:hAnsiTheme="majorHAnsi"/>
          <w:b/>
          <w:bCs/>
          <w:color w:val="00B5E2" w:themeColor="accent1"/>
          <w:sz w:val="18"/>
          <w:szCs w:val="18"/>
        </w:rPr>
        <w:fldChar w:fldCharType="separate"/>
      </w:r>
      <w:r w:rsidR="000C64A4">
        <w:rPr>
          <w:rFonts w:asciiTheme="majorHAnsi" w:hAnsiTheme="majorHAnsi"/>
          <w:b/>
          <w:bCs/>
          <w:noProof/>
          <w:color w:val="00B5E2" w:themeColor="accent1"/>
          <w:sz w:val="18"/>
          <w:szCs w:val="18"/>
        </w:rPr>
        <w:t>7</w:t>
      </w:r>
      <w:r w:rsidR="00BA4C32">
        <w:rPr>
          <w:rFonts w:asciiTheme="majorHAnsi" w:hAnsiTheme="majorHAnsi"/>
          <w:b/>
          <w:bCs/>
          <w:color w:val="00B5E2" w:themeColor="accent1"/>
          <w:sz w:val="18"/>
          <w:szCs w:val="18"/>
        </w:rPr>
        <w:fldChar w:fldCharType="end"/>
      </w:r>
      <w:bookmarkEnd w:id="206"/>
      <w:r w:rsidRPr="00826421">
        <w:rPr>
          <w:rFonts w:asciiTheme="majorHAnsi" w:hAnsiTheme="majorHAnsi"/>
          <w:b/>
          <w:bCs/>
          <w:color w:val="00B5E2" w:themeColor="accent1"/>
          <w:sz w:val="18"/>
          <w:szCs w:val="18"/>
        </w:rPr>
        <w:t>: Recommended provision of specialist housing for older people from the SHOP toolkit</w:t>
      </w:r>
    </w:p>
    <w:p w14:paraId="5BC2F5C2" w14:textId="77777777" w:rsidR="00826421" w:rsidRPr="00826421" w:rsidRDefault="00826421" w:rsidP="00826421">
      <w:pPr>
        <w:spacing w:after="0"/>
        <w:ind w:left="425"/>
        <w:jc w:val="both"/>
        <w:rPr>
          <w:lang w:val="en-US"/>
        </w:rPr>
      </w:pPr>
      <w:r w:rsidRPr="00826421">
        <w:rPr>
          <w:noProof/>
        </w:rPr>
        <w:drawing>
          <wp:inline distT="0" distB="0" distL="0" distR="0" wp14:anchorId="520A51BA" wp14:editId="70EE2548">
            <wp:extent cx="6049458" cy="2354580"/>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IN.PNG"/>
                    <pic:cNvPicPr/>
                  </pic:nvPicPr>
                  <pic:blipFill rotWithShape="1">
                    <a:blip r:embed="rId24">
                      <a:extLst>
                        <a:ext uri="{28A0092B-C50C-407E-A947-70E740481C1C}">
                          <a14:useLocalDpi xmlns:a14="http://schemas.microsoft.com/office/drawing/2010/main" val="0"/>
                        </a:ext>
                      </a:extLst>
                    </a:blip>
                    <a:srcRect b="4275"/>
                    <a:stretch/>
                  </pic:blipFill>
                  <pic:spPr bwMode="auto">
                    <a:xfrm>
                      <a:off x="0" y="0"/>
                      <a:ext cx="6049500" cy="2354596"/>
                    </a:xfrm>
                    <a:prstGeom prst="rect">
                      <a:avLst/>
                    </a:prstGeom>
                    <a:ln>
                      <a:noFill/>
                    </a:ln>
                    <a:extLst>
                      <a:ext uri="{53640926-AAD7-44D8-BBD7-CCE9431645EC}">
                        <a14:shadowObscured xmlns:a14="http://schemas.microsoft.com/office/drawing/2010/main"/>
                      </a:ext>
                    </a:extLst>
                  </pic:spPr>
                </pic:pic>
              </a:graphicData>
            </a:graphic>
          </wp:inline>
        </w:drawing>
      </w:r>
    </w:p>
    <w:p w14:paraId="615B05F7" w14:textId="77777777" w:rsidR="00826421" w:rsidRPr="00826421" w:rsidRDefault="00826421" w:rsidP="008C5248">
      <w:pPr>
        <w:spacing w:after="120"/>
        <w:ind w:left="425"/>
        <w:jc w:val="both"/>
        <w:rPr>
          <w:i/>
          <w:sz w:val="18"/>
          <w:szCs w:val="18"/>
          <w:lang w:val="en-US"/>
        </w:rPr>
      </w:pPr>
      <w:r w:rsidRPr="00826421">
        <w:rPr>
          <w:i/>
          <w:sz w:val="18"/>
          <w:szCs w:val="18"/>
          <w:lang w:val="en-US"/>
        </w:rPr>
        <w:t>Source: Housing LIN SHOP Toolkit</w:t>
      </w:r>
    </w:p>
    <w:p w14:paraId="7C00C38C" w14:textId="28647414" w:rsidR="00826421" w:rsidRPr="00826421" w:rsidRDefault="00826421" w:rsidP="00826421">
      <w:pPr>
        <w:numPr>
          <w:ilvl w:val="0"/>
          <w:numId w:val="15"/>
        </w:numPr>
        <w:spacing w:before="0" w:after="120"/>
        <w:jc w:val="both"/>
        <w:rPr>
          <w:color w:val="000000" w:themeColor="text1"/>
          <w:sz w:val="18"/>
          <w:szCs w:val="18"/>
          <w:lang w:val="en-US"/>
        </w:rPr>
      </w:pPr>
      <w:r w:rsidRPr="00826421">
        <w:rPr>
          <w:sz w:val="18"/>
          <w:szCs w:val="18"/>
          <w:lang w:val="en-US"/>
        </w:rPr>
        <w:t xml:space="preserve">As </w:t>
      </w:r>
      <w:r w:rsidRPr="00826421">
        <w:rPr>
          <w:sz w:val="18"/>
          <w:szCs w:val="18"/>
          <w:lang w:val="en-US"/>
        </w:rPr>
        <w:fldChar w:fldCharType="begin"/>
      </w:r>
      <w:r w:rsidRPr="00826421">
        <w:rPr>
          <w:sz w:val="18"/>
          <w:szCs w:val="18"/>
          <w:lang w:val="en-US"/>
        </w:rPr>
        <w:instrText xml:space="preserve"> REF _Ref1030637 \h  \* MERGEFORMAT </w:instrText>
      </w:r>
      <w:r w:rsidRPr="00826421">
        <w:rPr>
          <w:sz w:val="18"/>
          <w:szCs w:val="18"/>
          <w:lang w:val="en-US"/>
        </w:rPr>
      </w:r>
      <w:r w:rsidRPr="00826421">
        <w:rPr>
          <w:sz w:val="18"/>
          <w:szCs w:val="18"/>
          <w:lang w:val="en-US"/>
        </w:rPr>
        <w:fldChar w:fldCharType="separate"/>
      </w:r>
      <w:r w:rsidR="00603781" w:rsidRPr="00603781">
        <w:rPr>
          <w:sz w:val="18"/>
          <w:szCs w:val="18"/>
          <w:lang w:val="en-US"/>
        </w:rPr>
        <w:t xml:space="preserve">Table </w:t>
      </w:r>
      <w:r w:rsidR="00603781" w:rsidRPr="00603781">
        <w:rPr>
          <w:noProof/>
          <w:sz w:val="18"/>
          <w:szCs w:val="18"/>
          <w:lang w:val="en-US"/>
        </w:rPr>
        <w:t>6</w:t>
      </w:r>
      <w:r w:rsidR="00603781" w:rsidRPr="00603781">
        <w:rPr>
          <w:noProof/>
          <w:sz w:val="18"/>
          <w:szCs w:val="18"/>
          <w:lang w:val="en-US"/>
        </w:rPr>
        <w:noBreakHyphen/>
        <w:t>3</w:t>
      </w:r>
      <w:r w:rsidRPr="00826421">
        <w:rPr>
          <w:sz w:val="18"/>
          <w:szCs w:val="18"/>
          <w:lang w:val="en-US"/>
        </w:rPr>
        <w:fldChar w:fldCharType="end"/>
      </w:r>
      <w:r w:rsidR="00924117">
        <w:rPr>
          <w:sz w:val="18"/>
          <w:szCs w:val="18"/>
          <w:lang w:val="en-US"/>
        </w:rPr>
        <w:t xml:space="preserve"> shows</w:t>
      </w:r>
      <w:r w:rsidRPr="00826421">
        <w:rPr>
          <w:sz w:val="18"/>
          <w:szCs w:val="18"/>
          <w:lang w:val="en-US"/>
        </w:rPr>
        <w:t xml:space="preserve">, </w:t>
      </w:r>
      <w:r w:rsidR="0015105E">
        <w:rPr>
          <w:sz w:val="18"/>
          <w:szCs w:val="18"/>
          <w:lang w:val="en-US"/>
        </w:rPr>
        <w:t>Weymouth</w:t>
      </w:r>
      <w:r w:rsidRPr="00826421">
        <w:rPr>
          <w:sz w:val="18"/>
          <w:szCs w:val="18"/>
          <w:lang w:val="en-US"/>
        </w:rPr>
        <w:t xml:space="preserve"> is forecast to </w:t>
      </w:r>
      <w:r w:rsidR="006D592C">
        <w:rPr>
          <w:sz w:val="18"/>
          <w:szCs w:val="18"/>
          <w:lang w:val="en-US"/>
        </w:rPr>
        <w:t xml:space="preserve">see </w:t>
      </w:r>
      <w:r w:rsidR="00653258">
        <w:rPr>
          <w:sz w:val="18"/>
          <w:szCs w:val="18"/>
          <w:lang w:val="en-US"/>
        </w:rPr>
        <w:t>an increase in the</w:t>
      </w:r>
      <w:r w:rsidRPr="00826421">
        <w:rPr>
          <w:sz w:val="18"/>
          <w:szCs w:val="18"/>
          <w:lang w:val="en-US"/>
        </w:rPr>
        <w:t xml:space="preserve"> over-75 population of </w:t>
      </w:r>
      <w:r w:rsidR="00653258">
        <w:rPr>
          <w:sz w:val="18"/>
          <w:szCs w:val="18"/>
          <w:lang w:val="en-US"/>
        </w:rPr>
        <w:t>5,476</w:t>
      </w:r>
      <w:r w:rsidRPr="00826421">
        <w:rPr>
          <w:sz w:val="18"/>
          <w:szCs w:val="18"/>
          <w:lang w:val="en-US"/>
        </w:rPr>
        <w:t xml:space="preserve"> by the end of the Plan period</w:t>
      </w:r>
      <w:r w:rsidR="00653258">
        <w:rPr>
          <w:sz w:val="18"/>
          <w:szCs w:val="18"/>
          <w:lang w:val="en-US"/>
        </w:rPr>
        <w:t xml:space="preserve">. </w:t>
      </w:r>
      <w:r w:rsidRPr="00826421">
        <w:rPr>
          <w:sz w:val="18"/>
          <w:szCs w:val="18"/>
          <w:lang w:val="en-US"/>
        </w:rPr>
        <w:t xml:space="preserve">According to the HLIN </w:t>
      </w:r>
      <w:r w:rsidR="00924117">
        <w:rPr>
          <w:sz w:val="18"/>
          <w:szCs w:val="18"/>
          <w:lang w:val="en-US"/>
        </w:rPr>
        <w:t>tool</w:t>
      </w:r>
      <w:r w:rsidR="0047061E">
        <w:rPr>
          <w:sz w:val="18"/>
          <w:szCs w:val="18"/>
          <w:lang w:val="en-US"/>
        </w:rPr>
        <w:t>,</w:t>
      </w:r>
      <w:r w:rsidRPr="00826421">
        <w:rPr>
          <w:sz w:val="18"/>
          <w:szCs w:val="18"/>
          <w:lang w:val="en-US"/>
        </w:rPr>
        <w:t xml:space="preserve"> this </w:t>
      </w:r>
      <w:r w:rsidR="00924117">
        <w:rPr>
          <w:sz w:val="18"/>
          <w:szCs w:val="18"/>
          <w:lang w:val="en-US"/>
        </w:rPr>
        <w:t>translates into</w:t>
      </w:r>
      <w:r w:rsidRPr="00826421">
        <w:rPr>
          <w:sz w:val="18"/>
          <w:szCs w:val="18"/>
          <w:lang w:val="en-US"/>
        </w:rPr>
        <w:t xml:space="preserve"> need as follows:</w:t>
      </w:r>
    </w:p>
    <w:p w14:paraId="445AC480" w14:textId="0A67416E" w:rsidR="00826421" w:rsidRPr="00826421" w:rsidRDefault="00826421" w:rsidP="00826421">
      <w:pPr>
        <w:numPr>
          <w:ilvl w:val="0"/>
          <w:numId w:val="23"/>
        </w:numPr>
        <w:spacing w:before="0" w:after="0" w:line="240" w:lineRule="atLeast"/>
        <w:jc w:val="both"/>
        <w:rPr>
          <w:color w:val="000000" w:themeColor="text1"/>
          <w:sz w:val="18"/>
          <w:szCs w:val="18"/>
          <w:lang w:val="en-US"/>
        </w:rPr>
      </w:pPr>
      <w:r w:rsidRPr="00826421">
        <w:rPr>
          <w:color w:val="000000" w:themeColor="text1"/>
          <w:sz w:val="18"/>
          <w:szCs w:val="18"/>
          <w:lang w:val="en-US"/>
        </w:rPr>
        <w:t xml:space="preserve">Conventional sheltered housing to rent = 60 x </w:t>
      </w:r>
      <w:r w:rsidR="00FE08A1">
        <w:rPr>
          <w:color w:val="000000" w:themeColor="text1"/>
          <w:sz w:val="18"/>
          <w:szCs w:val="18"/>
          <w:lang w:val="en-US"/>
        </w:rPr>
        <w:t xml:space="preserve">5.476 </w:t>
      </w:r>
      <w:r w:rsidRPr="00826421">
        <w:rPr>
          <w:color w:val="000000" w:themeColor="text1"/>
          <w:sz w:val="18"/>
          <w:szCs w:val="18"/>
          <w:lang w:val="en-US"/>
        </w:rPr>
        <w:t xml:space="preserve">= </w:t>
      </w:r>
      <w:r w:rsidR="00FE08A1">
        <w:rPr>
          <w:color w:val="000000" w:themeColor="text1"/>
          <w:sz w:val="18"/>
          <w:szCs w:val="18"/>
          <w:lang w:val="en-US"/>
        </w:rPr>
        <w:t>329</w:t>
      </w:r>
    </w:p>
    <w:p w14:paraId="6931390A" w14:textId="0AA2BB9A" w:rsidR="00826421" w:rsidRPr="00826421" w:rsidRDefault="00826421" w:rsidP="00826421">
      <w:pPr>
        <w:numPr>
          <w:ilvl w:val="0"/>
          <w:numId w:val="23"/>
        </w:numPr>
        <w:spacing w:before="0" w:after="0" w:line="240" w:lineRule="atLeast"/>
        <w:jc w:val="both"/>
        <w:rPr>
          <w:color w:val="000000" w:themeColor="text1"/>
          <w:sz w:val="18"/>
          <w:szCs w:val="18"/>
          <w:lang w:val="en-US"/>
        </w:rPr>
      </w:pPr>
      <w:r w:rsidRPr="00826421">
        <w:rPr>
          <w:color w:val="000000" w:themeColor="text1"/>
          <w:sz w:val="18"/>
          <w:szCs w:val="18"/>
          <w:lang w:val="en-US"/>
        </w:rPr>
        <w:t xml:space="preserve">Leasehold sheltered housing = 120 x </w:t>
      </w:r>
      <w:r w:rsidR="00FE08A1">
        <w:rPr>
          <w:color w:val="000000" w:themeColor="text1"/>
          <w:sz w:val="18"/>
          <w:szCs w:val="18"/>
          <w:lang w:val="en-US"/>
        </w:rPr>
        <w:t>5.476</w:t>
      </w:r>
      <w:r w:rsidRPr="00826421">
        <w:rPr>
          <w:color w:val="000000" w:themeColor="text1"/>
          <w:sz w:val="18"/>
          <w:szCs w:val="18"/>
          <w:lang w:val="en-US"/>
        </w:rPr>
        <w:t xml:space="preserve"> = </w:t>
      </w:r>
      <w:r w:rsidR="00FE08A1">
        <w:rPr>
          <w:color w:val="000000" w:themeColor="text1"/>
          <w:sz w:val="18"/>
          <w:szCs w:val="18"/>
          <w:lang w:val="en-US"/>
        </w:rPr>
        <w:t>657</w:t>
      </w:r>
    </w:p>
    <w:p w14:paraId="20662CF8" w14:textId="4BB440DB" w:rsidR="00826421" w:rsidRPr="00826421" w:rsidRDefault="00826421" w:rsidP="00826421">
      <w:pPr>
        <w:numPr>
          <w:ilvl w:val="0"/>
          <w:numId w:val="23"/>
        </w:numPr>
        <w:spacing w:before="0" w:after="0" w:line="240" w:lineRule="atLeast"/>
        <w:jc w:val="both"/>
        <w:rPr>
          <w:color w:val="000000" w:themeColor="text1"/>
          <w:sz w:val="18"/>
          <w:szCs w:val="18"/>
          <w:lang w:val="en-US"/>
        </w:rPr>
      </w:pPr>
      <w:r w:rsidRPr="00826421">
        <w:rPr>
          <w:color w:val="000000" w:themeColor="text1"/>
          <w:sz w:val="18"/>
          <w:szCs w:val="18"/>
          <w:lang w:val="en-US"/>
        </w:rPr>
        <w:t xml:space="preserve">Enhanced sheltered housing (divided 50:50 between that for rent and that for sale) = 20 x </w:t>
      </w:r>
      <w:r w:rsidR="00FE08A1">
        <w:rPr>
          <w:color w:val="000000" w:themeColor="text1"/>
          <w:sz w:val="18"/>
          <w:szCs w:val="18"/>
          <w:lang w:val="en-US"/>
        </w:rPr>
        <w:t>5.476</w:t>
      </w:r>
      <w:r w:rsidRPr="00826421">
        <w:rPr>
          <w:color w:val="000000" w:themeColor="text1"/>
          <w:sz w:val="18"/>
          <w:szCs w:val="18"/>
          <w:lang w:val="en-US"/>
        </w:rPr>
        <w:t xml:space="preserve"> = </w:t>
      </w:r>
      <w:r w:rsidR="00FE08A1">
        <w:rPr>
          <w:color w:val="000000" w:themeColor="text1"/>
          <w:sz w:val="18"/>
          <w:szCs w:val="18"/>
          <w:lang w:val="en-US"/>
        </w:rPr>
        <w:t>1</w:t>
      </w:r>
      <w:r w:rsidR="00A23F1C">
        <w:rPr>
          <w:color w:val="000000" w:themeColor="text1"/>
          <w:sz w:val="18"/>
          <w:szCs w:val="18"/>
          <w:lang w:val="en-US"/>
        </w:rPr>
        <w:t>10</w:t>
      </w:r>
    </w:p>
    <w:p w14:paraId="0AD7F4FF" w14:textId="7DAA045C" w:rsidR="00826421" w:rsidRPr="00826421" w:rsidRDefault="00826421" w:rsidP="00826421">
      <w:pPr>
        <w:numPr>
          <w:ilvl w:val="0"/>
          <w:numId w:val="23"/>
        </w:numPr>
        <w:spacing w:before="0" w:after="0" w:line="240" w:lineRule="atLeast"/>
        <w:jc w:val="both"/>
        <w:rPr>
          <w:color w:val="000000" w:themeColor="text1"/>
          <w:sz w:val="18"/>
          <w:szCs w:val="18"/>
          <w:lang w:val="en-US"/>
        </w:rPr>
      </w:pPr>
      <w:r w:rsidRPr="00826421">
        <w:rPr>
          <w:color w:val="000000" w:themeColor="text1"/>
          <w:sz w:val="18"/>
          <w:szCs w:val="18"/>
          <w:lang w:val="en-US"/>
        </w:rPr>
        <w:t xml:space="preserve">Extra care housing for rent = 15 x </w:t>
      </w:r>
      <w:r w:rsidR="00FE08A1">
        <w:rPr>
          <w:color w:val="000000" w:themeColor="text1"/>
          <w:sz w:val="18"/>
          <w:szCs w:val="18"/>
          <w:lang w:val="en-US"/>
        </w:rPr>
        <w:t>5.476</w:t>
      </w:r>
      <w:r w:rsidRPr="00826421">
        <w:rPr>
          <w:color w:val="000000" w:themeColor="text1"/>
          <w:sz w:val="18"/>
          <w:szCs w:val="18"/>
          <w:lang w:val="en-US"/>
        </w:rPr>
        <w:t xml:space="preserve"> = </w:t>
      </w:r>
      <w:r w:rsidR="00FE08A1">
        <w:rPr>
          <w:color w:val="000000" w:themeColor="text1"/>
          <w:sz w:val="18"/>
          <w:szCs w:val="18"/>
          <w:lang w:val="en-US"/>
        </w:rPr>
        <w:t>82</w:t>
      </w:r>
    </w:p>
    <w:p w14:paraId="19DE9861" w14:textId="286469E1" w:rsidR="00826421" w:rsidRPr="00826421" w:rsidRDefault="00826421" w:rsidP="00826421">
      <w:pPr>
        <w:numPr>
          <w:ilvl w:val="0"/>
          <w:numId w:val="23"/>
        </w:numPr>
        <w:spacing w:before="0" w:after="0" w:line="240" w:lineRule="atLeast"/>
        <w:jc w:val="both"/>
        <w:rPr>
          <w:color w:val="000000" w:themeColor="text1"/>
          <w:sz w:val="18"/>
          <w:szCs w:val="18"/>
          <w:lang w:val="en-US"/>
        </w:rPr>
      </w:pPr>
      <w:r w:rsidRPr="00826421">
        <w:rPr>
          <w:color w:val="000000" w:themeColor="text1"/>
          <w:sz w:val="18"/>
          <w:szCs w:val="18"/>
          <w:lang w:val="en-US"/>
        </w:rPr>
        <w:t xml:space="preserve">Extra care housing for sale = 30 x </w:t>
      </w:r>
      <w:r w:rsidR="00FE08A1">
        <w:rPr>
          <w:color w:val="000000" w:themeColor="text1"/>
          <w:sz w:val="18"/>
          <w:szCs w:val="18"/>
          <w:lang w:val="en-US"/>
        </w:rPr>
        <w:t>5.476</w:t>
      </w:r>
      <w:r w:rsidRPr="00826421">
        <w:rPr>
          <w:color w:val="000000" w:themeColor="text1"/>
          <w:sz w:val="18"/>
          <w:szCs w:val="18"/>
          <w:lang w:val="en-US"/>
        </w:rPr>
        <w:t xml:space="preserve"> = </w:t>
      </w:r>
      <w:r w:rsidR="00FE08A1">
        <w:rPr>
          <w:color w:val="000000" w:themeColor="text1"/>
          <w:sz w:val="18"/>
          <w:szCs w:val="18"/>
          <w:lang w:val="en-US"/>
        </w:rPr>
        <w:t>164</w:t>
      </w:r>
    </w:p>
    <w:p w14:paraId="0B888E7E" w14:textId="1A7667E1" w:rsidR="00826421" w:rsidRPr="00826421" w:rsidRDefault="00826421" w:rsidP="00826421">
      <w:pPr>
        <w:numPr>
          <w:ilvl w:val="0"/>
          <w:numId w:val="23"/>
        </w:numPr>
        <w:spacing w:before="0" w:after="0" w:line="240" w:lineRule="atLeast"/>
        <w:jc w:val="both"/>
        <w:rPr>
          <w:color w:val="000000" w:themeColor="text1"/>
          <w:sz w:val="18"/>
          <w:szCs w:val="18"/>
          <w:lang w:val="en-US"/>
        </w:rPr>
      </w:pPr>
      <w:r w:rsidRPr="00826421">
        <w:rPr>
          <w:color w:val="000000" w:themeColor="text1"/>
          <w:sz w:val="18"/>
          <w:szCs w:val="18"/>
          <w:lang w:val="en-US"/>
        </w:rPr>
        <w:t xml:space="preserve">Housing based provision for dementia = 6 x </w:t>
      </w:r>
      <w:r w:rsidR="00FE08A1">
        <w:rPr>
          <w:color w:val="000000" w:themeColor="text1"/>
          <w:sz w:val="18"/>
          <w:szCs w:val="18"/>
          <w:lang w:val="en-US"/>
        </w:rPr>
        <w:t>5.476</w:t>
      </w:r>
      <w:r w:rsidRPr="00826421">
        <w:rPr>
          <w:color w:val="000000" w:themeColor="text1"/>
          <w:sz w:val="18"/>
          <w:szCs w:val="18"/>
          <w:lang w:val="en-US"/>
        </w:rPr>
        <w:t xml:space="preserve"> = </w:t>
      </w:r>
      <w:r w:rsidR="00FE08A1">
        <w:rPr>
          <w:color w:val="000000" w:themeColor="text1"/>
          <w:sz w:val="18"/>
          <w:szCs w:val="18"/>
          <w:lang w:val="en-US"/>
        </w:rPr>
        <w:t>3</w:t>
      </w:r>
      <w:r w:rsidR="00A23F1C">
        <w:rPr>
          <w:color w:val="000000" w:themeColor="text1"/>
          <w:sz w:val="18"/>
          <w:szCs w:val="18"/>
          <w:lang w:val="en-US"/>
        </w:rPr>
        <w:t>3</w:t>
      </w:r>
    </w:p>
    <w:p w14:paraId="10CF35AB" w14:textId="77777777" w:rsidR="00826421" w:rsidRPr="00826421" w:rsidRDefault="00826421" w:rsidP="00826421">
      <w:pPr>
        <w:spacing w:after="0"/>
        <w:jc w:val="both"/>
        <w:rPr>
          <w:color w:val="000000" w:themeColor="text1"/>
          <w:highlight w:val="yellow"/>
          <w:lang w:val="en-US"/>
        </w:rPr>
      </w:pPr>
    </w:p>
    <w:p w14:paraId="784A95F1" w14:textId="4568B11F"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 xml:space="preserve">This produces an overall total of </w:t>
      </w:r>
      <w:r w:rsidR="00FE08A1">
        <w:rPr>
          <w:sz w:val="18"/>
          <w:szCs w:val="18"/>
          <w:lang w:val="en-US"/>
        </w:rPr>
        <w:t>1,374</w:t>
      </w:r>
      <w:r w:rsidRPr="00826421">
        <w:rPr>
          <w:sz w:val="18"/>
          <w:szCs w:val="18"/>
          <w:lang w:val="en-US"/>
        </w:rPr>
        <w:t xml:space="preserve"> specialist dwellings</w:t>
      </w:r>
      <w:r w:rsidR="00924117">
        <w:rPr>
          <w:sz w:val="18"/>
          <w:szCs w:val="18"/>
          <w:lang w:val="en-US"/>
        </w:rPr>
        <w:t xml:space="preserve"> which might be required by the end of the plan period</w:t>
      </w:r>
      <w:r w:rsidRPr="00826421">
        <w:rPr>
          <w:sz w:val="18"/>
          <w:szCs w:val="18"/>
          <w:lang w:val="en-US"/>
        </w:rPr>
        <w:t>.</w:t>
      </w:r>
    </w:p>
    <w:p w14:paraId="606740ED" w14:textId="4EC8EF85" w:rsidR="00826421" w:rsidRPr="00826421" w:rsidRDefault="00826421" w:rsidP="00826421">
      <w:pPr>
        <w:numPr>
          <w:ilvl w:val="0"/>
          <w:numId w:val="15"/>
        </w:numPr>
        <w:spacing w:before="0" w:after="120"/>
        <w:jc w:val="both"/>
        <w:rPr>
          <w:color w:val="000000" w:themeColor="text1"/>
          <w:sz w:val="18"/>
          <w:szCs w:val="18"/>
          <w:lang w:val="en-US"/>
        </w:rPr>
      </w:pPr>
      <w:r w:rsidRPr="00826421">
        <w:rPr>
          <w:color w:val="000000" w:themeColor="text1"/>
          <w:sz w:val="18"/>
          <w:szCs w:val="18"/>
          <w:lang w:val="en-US"/>
        </w:rPr>
        <w:fldChar w:fldCharType="begin"/>
      </w:r>
      <w:r w:rsidRPr="00826421">
        <w:rPr>
          <w:color w:val="000000" w:themeColor="text1"/>
          <w:sz w:val="18"/>
          <w:szCs w:val="18"/>
          <w:lang w:val="en-US"/>
        </w:rPr>
        <w:instrText xml:space="preserve"> REF _Ref531084105 \h  \* MERGEFORMAT </w:instrText>
      </w:r>
      <w:r w:rsidRPr="00826421">
        <w:rPr>
          <w:color w:val="000000" w:themeColor="text1"/>
          <w:sz w:val="18"/>
          <w:szCs w:val="18"/>
          <w:lang w:val="en-US"/>
        </w:rPr>
      </w:r>
      <w:r w:rsidRPr="00826421">
        <w:rPr>
          <w:color w:val="000000" w:themeColor="text1"/>
          <w:sz w:val="18"/>
          <w:szCs w:val="18"/>
          <w:lang w:val="en-US"/>
        </w:rPr>
        <w:fldChar w:fldCharType="separate"/>
      </w:r>
      <w:r w:rsidR="000C64A4" w:rsidRPr="00832DE0">
        <w:rPr>
          <w:sz w:val="18"/>
          <w:szCs w:val="18"/>
          <w:lang w:val="en-US"/>
        </w:rPr>
        <w:t xml:space="preserve">Table </w:t>
      </w:r>
      <w:r w:rsidR="000C64A4" w:rsidRPr="00832DE0">
        <w:rPr>
          <w:noProof/>
          <w:sz w:val="18"/>
          <w:szCs w:val="18"/>
          <w:lang w:val="en-US"/>
        </w:rPr>
        <w:t>6</w:t>
      </w:r>
      <w:r w:rsidR="000C64A4" w:rsidRPr="00832DE0">
        <w:rPr>
          <w:noProof/>
          <w:sz w:val="18"/>
          <w:szCs w:val="18"/>
          <w:lang w:val="en-US"/>
        </w:rPr>
        <w:noBreakHyphen/>
        <w:t>8</w:t>
      </w:r>
      <w:r w:rsidRPr="00826421">
        <w:rPr>
          <w:color w:val="000000" w:themeColor="text1"/>
          <w:sz w:val="18"/>
          <w:szCs w:val="18"/>
          <w:lang w:val="en-US"/>
        </w:rPr>
        <w:fldChar w:fldCharType="end"/>
      </w:r>
      <w:r w:rsidRPr="00826421">
        <w:rPr>
          <w:color w:val="000000" w:themeColor="text1"/>
          <w:sz w:val="18"/>
          <w:szCs w:val="18"/>
          <w:lang w:val="en-US"/>
        </w:rPr>
        <w:t xml:space="preserve"> below sets out the HLIN recommendations in the same format as </w:t>
      </w:r>
      <w:r w:rsidRPr="00826421">
        <w:rPr>
          <w:color w:val="000000" w:themeColor="text1"/>
          <w:sz w:val="18"/>
          <w:szCs w:val="18"/>
          <w:lang w:val="en-US"/>
        </w:rPr>
        <w:fldChar w:fldCharType="begin"/>
      </w:r>
      <w:r w:rsidRPr="00826421">
        <w:rPr>
          <w:color w:val="000000" w:themeColor="text1"/>
          <w:sz w:val="18"/>
          <w:szCs w:val="18"/>
          <w:lang w:val="en-US"/>
        </w:rPr>
        <w:instrText xml:space="preserve"> REF _Ref4491677 \h  \* MERGEFORMAT </w:instrText>
      </w:r>
      <w:r w:rsidRPr="00826421">
        <w:rPr>
          <w:color w:val="000000" w:themeColor="text1"/>
          <w:sz w:val="18"/>
          <w:szCs w:val="18"/>
          <w:lang w:val="en-US"/>
        </w:rPr>
      </w:r>
      <w:r w:rsidRPr="00826421">
        <w:rPr>
          <w:color w:val="000000" w:themeColor="text1"/>
          <w:sz w:val="18"/>
          <w:szCs w:val="18"/>
          <w:lang w:val="en-US"/>
        </w:rPr>
        <w:fldChar w:fldCharType="separate"/>
      </w:r>
      <w:r w:rsidR="00603781" w:rsidRPr="00603781">
        <w:rPr>
          <w:sz w:val="18"/>
          <w:szCs w:val="18"/>
          <w:lang w:val="en-US"/>
        </w:rPr>
        <w:t xml:space="preserve">Table </w:t>
      </w:r>
      <w:r w:rsidR="00603781" w:rsidRPr="00603781">
        <w:rPr>
          <w:noProof/>
          <w:sz w:val="18"/>
          <w:szCs w:val="18"/>
          <w:lang w:val="en-US"/>
        </w:rPr>
        <w:t>6</w:t>
      </w:r>
      <w:r w:rsidR="00603781" w:rsidRPr="00603781">
        <w:rPr>
          <w:noProof/>
          <w:sz w:val="18"/>
          <w:szCs w:val="18"/>
          <w:lang w:val="en-US"/>
        </w:rPr>
        <w:noBreakHyphen/>
        <w:t>7</w:t>
      </w:r>
      <w:r w:rsidRPr="00826421">
        <w:rPr>
          <w:color w:val="000000" w:themeColor="text1"/>
          <w:sz w:val="18"/>
          <w:szCs w:val="18"/>
          <w:lang w:val="en-US"/>
        </w:rPr>
        <w:fldChar w:fldCharType="end"/>
      </w:r>
      <w:r w:rsidRPr="00826421">
        <w:rPr>
          <w:color w:val="000000" w:themeColor="text1"/>
          <w:sz w:val="18"/>
          <w:szCs w:val="18"/>
          <w:lang w:val="en-US"/>
        </w:rPr>
        <w:t xml:space="preserve"> above. </w:t>
      </w:r>
      <w:r w:rsidR="009C189E">
        <w:rPr>
          <w:color w:val="000000" w:themeColor="text1"/>
          <w:sz w:val="18"/>
          <w:szCs w:val="18"/>
          <w:lang w:val="en-US"/>
        </w:rPr>
        <w:t xml:space="preserve">It is important to stress that the SHOP toolkit embeds assumptions </w:t>
      </w:r>
      <w:r w:rsidR="00653258">
        <w:rPr>
          <w:color w:val="000000" w:themeColor="text1"/>
          <w:sz w:val="18"/>
          <w:szCs w:val="18"/>
          <w:lang w:val="en-US"/>
        </w:rPr>
        <w:t>raising</w:t>
      </w:r>
      <w:r w:rsidR="009C189E">
        <w:rPr>
          <w:color w:val="000000" w:themeColor="text1"/>
          <w:sz w:val="18"/>
          <w:szCs w:val="18"/>
          <w:lang w:val="en-US"/>
        </w:rPr>
        <w:t xml:space="preserve"> the provision of specialist accommodation compared to current rates.</w:t>
      </w:r>
    </w:p>
    <w:p w14:paraId="7432A008" w14:textId="0D999CA8" w:rsidR="00826421" w:rsidRPr="00826421" w:rsidRDefault="00826421" w:rsidP="00826421">
      <w:pPr>
        <w:keepNext/>
        <w:spacing w:after="120"/>
        <w:ind w:left="425"/>
        <w:jc w:val="both"/>
        <w:rPr>
          <w:rFonts w:asciiTheme="majorHAnsi" w:hAnsiTheme="majorHAnsi"/>
          <w:b/>
          <w:bCs/>
          <w:color w:val="00B5E2" w:themeColor="accent1"/>
          <w:sz w:val="18"/>
          <w:szCs w:val="18"/>
        </w:rPr>
      </w:pPr>
      <w:bookmarkStart w:id="207" w:name="_Ref531084105"/>
      <w:r w:rsidRPr="00826421">
        <w:rPr>
          <w:rFonts w:asciiTheme="majorHAnsi" w:hAnsiTheme="majorHAnsi"/>
          <w:b/>
          <w:bCs/>
          <w:color w:val="00B5E2" w:themeColor="accent1"/>
          <w:sz w:val="18"/>
          <w:szCs w:val="18"/>
        </w:rPr>
        <w:t xml:space="preserve">Table </w:t>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STYLEREF 1 \s </w:instrText>
      </w:r>
      <w:r w:rsidR="00BA4C32">
        <w:rPr>
          <w:rFonts w:asciiTheme="majorHAnsi" w:hAnsiTheme="majorHAnsi"/>
          <w:b/>
          <w:bCs/>
          <w:color w:val="00B5E2" w:themeColor="accent1"/>
          <w:sz w:val="18"/>
          <w:szCs w:val="18"/>
        </w:rPr>
        <w:fldChar w:fldCharType="separate"/>
      </w:r>
      <w:r w:rsidR="00BA4C32">
        <w:rPr>
          <w:rFonts w:asciiTheme="majorHAnsi" w:hAnsiTheme="majorHAnsi"/>
          <w:b/>
          <w:bCs/>
          <w:noProof/>
          <w:color w:val="00B5E2" w:themeColor="accent1"/>
          <w:sz w:val="18"/>
          <w:szCs w:val="18"/>
        </w:rPr>
        <w:t>6</w:t>
      </w:r>
      <w:r w:rsidR="00BA4C32">
        <w:rPr>
          <w:rFonts w:asciiTheme="majorHAnsi" w:hAnsiTheme="majorHAnsi"/>
          <w:b/>
          <w:bCs/>
          <w:color w:val="00B5E2" w:themeColor="accent1"/>
          <w:sz w:val="18"/>
          <w:szCs w:val="18"/>
        </w:rPr>
        <w:fldChar w:fldCharType="end"/>
      </w:r>
      <w:r w:rsidR="00BA4C32">
        <w:rPr>
          <w:rFonts w:asciiTheme="majorHAnsi" w:hAnsiTheme="majorHAnsi"/>
          <w:b/>
          <w:bCs/>
          <w:color w:val="00B5E2" w:themeColor="accent1"/>
          <w:sz w:val="18"/>
          <w:szCs w:val="18"/>
        </w:rPr>
        <w:noBreakHyphen/>
      </w:r>
      <w:r w:rsidR="00BA4C32">
        <w:rPr>
          <w:rFonts w:asciiTheme="majorHAnsi" w:hAnsiTheme="majorHAnsi"/>
          <w:b/>
          <w:bCs/>
          <w:color w:val="00B5E2" w:themeColor="accent1"/>
          <w:sz w:val="18"/>
          <w:szCs w:val="18"/>
        </w:rPr>
        <w:fldChar w:fldCharType="begin"/>
      </w:r>
      <w:r w:rsidR="00BA4C32">
        <w:rPr>
          <w:rFonts w:asciiTheme="majorHAnsi" w:hAnsiTheme="majorHAnsi"/>
          <w:b/>
          <w:bCs/>
          <w:color w:val="00B5E2" w:themeColor="accent1"/>
          <w:sz w:val="18"/>
          <w:szCs w:val="18"/>
        </w:rPr>
        <w:instrText xml:space="preserve"> SEQ Table \* ARABIC \s 1 </w:instrText>
      </w:r>
      <w:r w:rsidR="00BA4C32">
        <w:rPr>
          <w:rFonts w:asciiTheme="majorHAnsi" w:hAnsiTheme="majorHAnsi"/>
          <w:b/>
          <w:bCs/>
          <w:color w:val="00B5E2" w:themeColor="accent1"/>
          <w:sz w:val="18"/>
          <w:szCs w:val="18"/>
        </w:rPr>
        <w:fldChar w:fldCharType="separate"/>
      </w:r>
      <w:r w:rsidR="000C64A4">
        <w:rPr>
          <w:rFonts w:asciiTheme="majorHAnsi" w:hAnsiTheme="majorHAnsi"/>
          <w:b/>
          <w:bCs/>
          <w:noProof/>
          <w:color w:val="00B5E2" w:themeColor="accent1"/>
          <w:sz w:val="18"/>
          <w:szCs w:val="18"/>
        </w:rPr>
        <w:t>8</w:t>
      </w:r>
      <w:r w:rsidR="00BA4C32">
        <w:rPr>
          <w:rFonts w:asciiTheme="majorHAnsi" w:hAnsiTheme="majorHAnsi"/>
          <w:b/>
          <w:bCs/>
          <w:color w:val="00B5E2" w:themeColor="accent1"/>
          <w:sz w:val="18"/>
          <w:szCs w:val="18"/>
        </w:rPr>
        <w:fldChar w:fldCharType="end"/>
      </w:r>
      <w:bookmarkEnd w:id="207"/>
      <w:r w:rsidRPr="00826421">
        <w:rPr>
          <w:rFonts w:asciiTheme="majorHAnsi" w:hAnsiTheme="majorHAnsi"/>
          <w:b/>
          <w:bCs/>
          <w:color w:val="00B5E2" w:themeColor="accent1"/>
          <w:sz w:val="18"/>
          <w:szCs w:val="18"/>
        </w:rPr>
        <w:t xml:space="preserve">: HLIN estimate of specialist housing need in </w:t>
      </w:r>
      <w:r w:rsidR="0015105E">
        <w:rPr>
          <w:rFonts w:asciiTheme="majorHAnsi" w:hAnsiTheme="majorHAnsi"/>
          <w:b/>
          <w:bCs/>
          <w:color w:val="00B5E2" w:themeColor="accent1"/>
          <w:sz w:val="18"/>
          <w:szCs w:val="18"/>
        </w:rPr>
        <w:t>Weymouth</w:t>
      </w:r>
      <w:r w:rsidRPr="00826421">
        <w:rPr>
          <w:rFonts w:asciiTheme="majorHAnsi" w:hAnsiTheme="majorHAnsi"/>
          <w:b/>
          <w:bCs/>
          <w:color w:val="00B5E2" w:themeColor="accent1"/>
          <w:sz w:val="18"/>
          <w:szCs w:val="18"/>
        </w:rPr>
        <w:t xml:space="preserve"> by the end of the Plan period</w:t>
      </w:r>
    </w:p>
    <w:tbl>
      <w:tblPr>
        <w:tblStyle w:val="TableGrid40"/>
        <w:tblW w:w="4767" w:type="pct"/>
        <w:tblInd w:w="421" w:type="dxa"/>
        <w:tblLook w:val="04A0" w:firstRow="1" w:lastRow="0" w:firstColumn="1" w:lastColumn="0" w:noHBand="0" w:noVBand="1"/>
      </w:tblPr>
      <w:tblGrid>
        <w:gridCol w:w="1701"/>
        <w:gridCol w:w="3619"/>
        <w:gridCol w:w="2888"/>
        <w:gridCol w:w="1158"/>
      </w:tblGrid>
      <w:tr w:rsidR="00826421" w:rsidRPr="00826421" w14:paraId="571C5E0D" w14:textId="77777777" w:rsidTr="00947A30">
        <w:trPr>
          <w:cnfStyle w:val="100000000000" w:firstRow="1" w:lastRow="0" w:firstColumn="0" w:lastColumn="0" w:oddVBand="0" w:evenVBand="0" w:oddHBand="0" w:evenHBand="0" w:firstRowFirstColumn="0" w:firstRowLastColumn="0" w:lastRowFirstColumn="0" w:lastRowLastColumn="0"/>
          <w:trHeight w:val="259"/>
        </w:trPr>
        <w:tc>
          <w:tcPr>
            <w:tcW w:w="908" w:type="pct"/>
            <w:shd w:val="clear" w:color="auto" w:fill="000000" w:themeFill="text1"/>
            <w:vAlign w:val="center"/>
          </w:tcPr>
          <w:p w14:paraId="55324E3D" w14:textId="77777777" w:rsidR="00826421" w:rsidRPr="00826421" w:rsidRDefault="00826421" w:rsidP="00826421">
            <w:pPr>
              <w:jc w:val="both"/>
              <w:rPr>
                <w:iCs/>
                <w:color w:val="FFFFFF" w:themeColor="background1"/>
                <w:sz w:val="18"/>
                <w:szCs w:val="18"/>
              </w:rPr>
            </w:pPr>
            <w:r w:rsidRPr="00826421">
              <w:rPr>
                <w:b/>
                <w:iCs/>
                <w:color w:val="FFFFFF" w:themeColor="background1"/>
                <w:sz w:val="18"/>
                <w:szCs w:val="18"/>
              </w:rPr>
              <w:t>Type</w:t>
            </w:r>
          </w:p>
        </w:tc>
        <w:tc>
          <w:tcPr>
            <w:tcW w:w="1932" w:type="pct"/>
            <w:shd w:val="clear" w:color="auto" w:fill="000000" w:themeFill="text1"/>
            <w:vAlign w:val="center"/>
          </w:tcPr>
          <w:p w14:paraId="05F05367" w14:textId="77777777" w:rsidR="00826421" w:rsidRPr="00826421" w:rsidRDefault="00826421" w:rsidP="00826421">
            <w:pPr>
              <w:jc w:val="both"/>
              <w:rPr>
                <w:iCs/>
                <w:color w:val="FFFFFF" w:themeColor="background1"/>
                <w:sz w:val="18"/>
                <w:szCs w:val="18"/>
              </w:rPr>
            </w:pPr>
            <w:r w:rsidRPr="00826421">
              <w:rPr>
                <w:b/>
                <w:iCs/>
                <w:color w:val="FFFFFF" w:themeColor="background1"/>
                <w:sz w:val="18"/>
                <w:szCs w:val="18"/>
              </w:rPr>
              <w:t>Affordable</w:t>
            </w:r>
          </w:p>
        </w:tc>
        <w:tc>
          <w:tcPr>
            <w:tcW w:w="1542" w:type="pct"/>
            <w:shd w:val="clear" w:color="auto" w:fill="000000" w:themeFill="text1"/>
            <w:vAlign w:val="center"/>
          </w:tcPr>
          <w:p w14:paraId="6FBC56B4" w14:textId="77777777" w:rsidR="00826421" w:rsidRPr="00826421" w:rsidRDefault="00826421" w:rsidP="00826421">
            <w:pPr>
              <w:jc w:val="both"/>
              <w:rPr>
                <w:iCs/>
                <w:color w:val="FFFFFF" w:themeColor="background1"/>
                <w:sz w:val="18"/>
                <w:szCs w:val="18"/>
              </w:rPr>
            </w:pPr>
            <w:r w:rsidRPr="00826421">
              <w:rPr>
                <w:b/>
                <w:iCs/>
                <w:color w:val="FFFFFF" w:themeColor="background1"/>
                <w:sz w:val="18"/>
                <w:szCs w:val="18"/>
              </w:rPr>
              <w:t>Market</w:t>
            </w:r>
          </w:p>
        </w:tc>
        <w:tc>
          <w:tcPr>
            <w:tcW w:w="618" w:type="pct"/>
            <w:shd w:val="clear" w:color="auto" w:fill="000000" w:themeFill="text1"/>
            <w:vAlign w:val="center"/>
          </w:tcPr>
          <w:p w14:paraId="275731C0" w14:textId="77777777" w:rsidR="00826421" w:rsidRPr="00826421" w:rsidRDefault="00826421" w:rsidP="00826421">
            <w:pPr>
              <w:jc w:val="both"/>
              <w:rPr>
                <w:color w:val="FFFFFF" w:themeColor="background1"/>
                <w:sz w:val="18"/>
                <w:szCs w:val="18"/>
              </w:rPr>
            </w:pPr>
            <w:r w:rsidRPr="00826421">
              <w:rPr>
                <w:b/>
                <w:color w:val="FFFFFF" w:themeColor="background1"/>
                <w:sz w:val="18"/>
                <w:szCs w:val="18"/>
              </w:rPr>
              <w:t>Total</w:t>
            </w:r>
          </w:p>
        </w:tc>
      </w:tr>
      <w:tr w:rsidR="00826421" w:rsidRPr="00826421" w14:paraId="18D516D7" w14:textId="77777777" w:rsidTr="00947A30">
        <w:trPr>
          <w:trHeight w:val="795"/>
        </w:trPr>
        <w:tc>
          <w:tcPr>
            <w:tcW w:w="908" w:type="pct"/>
            <w:vMerge w:val="restart"/>
            <w:vAlign w:val="center"/>
          </w:tcPr>
          <w:p w14:paraId="7651079D" w14:textId="77777777" w:rsidR="00826421" w:rsidRPr="00826421" w:rsidRDefault="00826421" w:rsidP="00826421">
            <w:pPr>
              <w:jc w:val="both"/>
              <w:rPr>
                <w:iCs/>
                <w:sz w:val="18"/>
                <w:szCs w:val="18"/>
              </w:rPr>
            </w:pPr>
            <w:r w:rsidRPr="00826421">
              <w:rPr>
                <w:sz w:val="18"/>
                <w:szCs w:val="18"/>
              </w:rPr>
              <w:t>Housing with care (e.g. extra care)</w:t>
            </w:r>
          </w:p>
        </w:tc>
        <w:tc>
          <w:tcPr>
            <w:tcW w:w="1932" w:type="pct"/>
            <w:vAlign w:val="center"/>
          </w:tcPr>
          <w:p w14:paraId="1D9E0BA5" w14:textId="77777777" w:rsidR="00826421" w:rsidRPr="00826421" w:rsidRDefault="00826421" w:rsidP="00832DE0">
            <w:pPr>
              <w:rPr>
                <w:iCs/>
                <w:color w:val="000000" w:themeColor="text1"/>
                <w:sz w:val="18"/>
                <w:szCs w:val="18"/>
              </w:rPr>
            </w:pPr>
            <w:r w:rsidRPr="00826421">
              <w:rPr>
                <w:iCs/>
                <w:color w:val="000000" w:themeColor="text1"/>
                <w:sz w:val="18"/>
                <w:szCs w:val="18"/>
              </w:rPr>
              <w:t>Includes: enhanced sheltered housing for rent + extra care housing for rent + housing based provision for dementia</w:t>
            </w:r>
          </w:p>
        </w:tc>
        <w:tc>
          <w:tcPr>
            <w:tcW w:w="1542" w:type="pct"/>
            <w:vAlign w:val="center"/>
          </w:tcPr>
          <w:p w14:paraId="53318B49" w14:textId="77777777" w:rsidR="00826421" w:rsidRPr="00826421" w:rsidRDefault="00826421" w:rsidP="00832DE0">
            <w:pPr>
              <w:rPr>
                <w:iCs/>
                <w:sz w:val="18"/>
                <w:szCs w:val="18"/>
              </w:rPr>
            </w:pPr>
            <w:r w:rsidRPr="00826421">
              <w:rPr>
                <w:iCs/>
                <w:sz w:val="18"/>
                <w:szCs w:val="18"/>
              </w:rPr>
              <w:t>Includes: enhanced sheltered housing for sale + extra care housing for sale</w:t>
            </w:r>
          </w:p>
        </w:tc>
        <w:tc>
          <w:tcPr>
            <w:tcW w:w="618" w:type="pct"/>
            <w:vMerge w:val="restart"/>
            <w:vAlign w:val="center"/>
          </w:tcPr>
          <w:p w14:paraId="2EB96143" w14:textId="1F52C770" w:rsidR="00826421" w:rsidRPr="00826421" w:rsidRDefault="00FE08A1" w:rsidP="00826421">
            <w:pPr>
              <w:jc w:val="both"/>
              <w:rPr>
                <w:sz w:val="18"/>
                <w:szCs w:val="18"/>
              </w:rPr>
            </w:pPr>
            <w:r>
              <w:rPr>
                <w:sz w:val="18"/>
                <w:szCs w:val="18"/>
              </w:rPr>
              <w:t>389</w:t>
            </w:r>
          </w:p>
        </w:tc>
      </w:tr>
      <w:tr w:rsidR="00826421" w:rsidRPr="00826421" w14:paraId="132D6381" w14:textId="77777777" w:rsidTr="00947A30">
        <w:trPr>
          <w:trHeight w:val="42"/>
        </w:trPr>
        <w:tc>
          <w:tcPr>
            <w:tcW w:w="908" w:type="pct"/>
            <w:vMerge/>
            <w:vAlign w:val="center"/>
          </w:tcPr>
          <w:p w14:paraId="41DA053B" w14:textId="77777777" w:rsidR="00826421" w:rsidRPr="00826421" w:rsidRDefault="00826421" w:rsidP="00826421">
            <w:pPr>
              <w:jc w:val="both"/>
              <w:rPr>
                <w:sz w:val="18"/>
                <w:szCs w:val="18"/>
              </w:rPr>
            </w:pPr>
          </w:p>
        </w:tc>
        <w:tc>
          <w:tcPr>
            <w:tcW w:w="1932" w:type="pct"/>
            <w:vAlign w:val="center"/>
          </w:tcPr>
          <w:p w14:paraId="64077B14" w14:textId="674AB23D" w:rsidR="00826421" w:rsidRPr="00826421" w:rsidRDefault="00FE08A1" w:rsidP="00826421">
            <w:pPr>
              <w:jc w:val="both"/>
              <w:rPr>
                <w:iCs/>
                <w:color w:val="000000" w:themeColor="text1"/>
                <w:sz w:val="18"/>
                <w:szCs w:val="18"/>
              </w:rPr>
            </w:pPr>
            <w:r>
              <w:rPr>
                <w:sz w:val="18"/>
                <w:szCs w:val="18"/>
              </w:rPr>
              <w:t>170</w:t>
            </w:r>
          </w:p>
        </w:tc>
        <w:tc>
          <w:tcPr>
            <w:tcW w:w="1542" w:type="pct"/>
            <w:vAlign w:val="center"/>
          </w:tcPr>
          <w:p w14:paraId="0E099585" w14:textId="4422D0B7" w:rsidR="00826421" w:rsidRPr="00826421" w:rsidRDefault="00FE08A1" w:rsidP="00826421">
            <w:pPr>
              <w:jc w:val="both"/>
              <w:rPr>
                <w:iCs/>
                <w:sz w:val="18"/>
                <w:szCs w:val="18"/>
              </w:rPr>
            </w:pPr>
            <w:r>
              <w:rPr>
                <w:sz w:val="18"/>
                <w:szCs w:val="18"/>
              </w:rPr>
              <w:t>219</w:t>
            </w:r>
          </w:p>
        </w:tc>
        <w:tc>
          <w:tcPr>
            <w:tcW w:w="618" w:type="pct"/>
            <w:vMerge/>
            <w:vAlign w:val="center"/>
          </w:tcPr>
          <w:p w14:paraId="20B9CE55" w14:textId="77777777" w:rsidR="00826421" w:rsidRPr="00826421" w:rsidRDefault="00826421" w:rsidP="00826421">
            <w:pPr>
              <w:jc w:val="both"/>
              <w:rPr>
                <w:sz w:val="18"/>
                <w:szCs w:val="18"/>
              </w:rPr>
            </w:pPr>
          </w:p>
        </w:tc>
      </w:tr>
      <w:tr w:rsidR="00826421" w:rsidRPr="00826421" w14:paraId="4E2E95DB" w14:textId="77777777" w:rsidTr="00947A30">
        <w:trPr>
          <w:trHeight w:val="142"/>
        </w:trPr>
        <w:tc>
          <w:tcPr>
            <w:tcW w:w="908" w:type="pct"/>
            <w:vMerge w:val="restart"/>
            <w:vAlign w:val="center"/>
          </w:tcPr>
          <w:p w14:paraId="4F4F106C" w14:textId="77777777" w:rsidR="00826421" w:rsidRPr="00826421" w:rsidRDefault="00826421" w:rsidP="00826421">
            <w:pPr>
              <w:jc w:val="both"/>
              <w:rPr>
                <w:iCs/>
                <w:sz w:val="18"/>
                <w:szCs w:val="18"/>
              </w:rPr>
            </w:pPr>
            <w:r w:rsidRPr="00826421">
              <w:rPr>
                <w:sz w:val="18"/>
                <w:szCs w:val="18"/>
              </w:rPr>
              <w:t>Sheltered housing</w:t>
            </w:r>
          </w:p>
        </w:tc>
        <w:tc>
          <w:tcPr>
            <w:tcW w:w="1932" w:type="pct"/>
            <w:vAlign w:val="center"/>
          </w:tcPr>
          <w:p w14:paraId="2735E0CB" w14:textId="77777777" w:rsidR="00826421" w:rsidRPr="00826421" w:rsidRDefault="00826421" w:rsidP="00826421">
            <w:pPr>
              <w:jc w:val="both"/>
              <w:rPr>
                <w:iCs/>
                <w:sz w:val="18"/>
                <w:szCs w:val="18"/>
              </w:rPr>
            </w:pPr>
            <w:r w:rsidRPr="00826421">
              <w:rPr>
                <w:iCs/>
                <w:sz w:val="18"/>
                <w:szCs w:val="18"/>
              </w:rPr>
              <w:t>Conventional sheltered housing for rent</w:t>
            </w:r>
          </w:p>
        </w:tc>
        <w:tc>
          <w:tcPr>
            <w:tcW w:w="1542" w:type="pct"/>
            <w:vAlign w:val="center"/>
          </w:tcPr>
          <w:p w14:paraId="58FD9241" w14:textId="77777777" w:rsidR="00826421" w:rsidRPr="00826421" w:rsidRDefault="00826421" w:rsidP="00826421">
            <w:pPr>
              <w:jc w:val="both"/>
              <w:rPr>
                <w:iCs/>
                <w:sz w:val="18"/>
                <w:szCs w:val="18"/>
              </w:rPr>
            </w:pPr>
            <w:r w:rsidRPr="00826421">
              <w:rPr>
                <w:iCs/>
                <w:sz w:val="18"/>
                <w:szCs w:val="18"/>
              </w:rPr>
              <w:t>Leasehold sheltered housing</w:t>
            </w:r>
          </w:p>
        </w:tc>
        <w:tc>
          <w:tcPr>
            <w:tcW w:w="618" w:type="pct"/>
            <w:vMerge w:val="restart"/>
            <w:vAlign w:val="center"/>
          </w:tcPr>
          <w:p w14:paraId="12E09E88" w14:textId="2F94B35B" w:rsidR="00826421" w:rsidRPr="00826421" w:rsidRDefault="00FE08A1" w:rsidP="00826421">
            <w:pPr>
              <w:jc w:val="both"/>
              <w:rPr>
                <w:sz w:val="18"/>
                <w:szCs w:val="18"/>
              </w:rPr>
            </w:pPr>
            <w:r>
              <w:rPr>
                <w:sz w:val="18"/>
                <w:szCs w:val="18"/>
              </w:rPr>
              <w:t>986</w:t>
            </w:r>
          </w:p>
        </w:tc>
      </w:tr>
      <w:tr w:rsidR="00826421" w:rsidRPr="00826421" w14:paraId="06523072" w14:textId="77777777" w:rsidTr="00947A30">
        <w:trPr>
          <w:trHeight w:val="142"/>
        </w:trPr>
        <w:tc>
          <w:tcPr>
            <w:tcW w:w="908" w:type="pct"/>
            <w:vMerge/>
            <w:vAlign w:val="center"/>
          </w:tcPr>
          <w:p w14:paraId="6C37D337" w14:textId="77777777" w:rsidR="00826421" w:rsidRPr="00826421" w:rsidRDefault="00826421" w:rsidP="00826421">
            <w:pPr>
              <w:jc w:val="both"/>
              <w:rPr>
                <w:sz w:val="18"/>
                <w:szCs w:val="18"/>
              </w:rPr>
            </w:pPr>
          </w:p>
        </w:tc>
        <w:tc>
          <w:tcPr>
            <w:tcW w:w="1932" w:type="pct"/>
            <w:vAlign w:val="center"/>
          </w:tcPr>
          <w:p w14:paraId="34AECAF5" w14:textId="78FDB3F0" w:rsidR="00826421" w:rsidRPr="00826421" w:rsidRDefault="00FE08A1" w:rsidP="00826421">
            <w:pPr>
              <w:jc w:val="both"/>
              <w:rPr>
                <w:iCs/>
                <w:sz w:val="18"/>
                <w:szCs w:val="18"/>
              </w:rPr>
            </w:pPr>
            <w:r>
              <w:rPr>
                <w:sz w:val="18"/>
                <w:szCs w:val="18"/>
              </w:rPr>
              <w:t>329</w:t>
            </w:r>
          </w:p>
        </w:tc>
        <w:tc>
          <w:tcPr>
            <w:tcW w:w="1542" w:type="pct"/>
            <w:vAlign w:val="center"/>
          </w:tcPr>
          <w:p w14:paraId="30ACFB16" w14:textId="659A8747" w:rsidR="00826421" w:rsidRPr="00826421" w:rsidRDefault="00FE08A1" w:rsidP="00826421">
            <w:pPr>
              <w:jc w:val="both"/>
              <w:rPr>
                <w:iCs/>
                <w:sz w:val="18"/>
                <w:szCs w:val="18"/>
              </w:rPr>
            </w:pPr>
            <w:r>
              <w:rPr>
                <w:sz w:val="18"/>
                <w:szCs w:val="18"/>
              </w:rPr>
              <w:t>657</w:t>
            </w:r>
          </w:p>
        </w:tc>
        <w:tc>
          <w:tcPr>
            <w:tcW w:w="618" w:type="pct"/>
            <w:vMerge/>
            <w:vAlign w:val="center"/>
          </w:tcPr>
          <w:p w14:paraId="77294BE9" w14:textId="77777777" w:rsidR="00826421" w:rsidRPr="00826421" w:rsidRDefault="00826421" w:rsidP="00826421">
            <w:pPr>
              <w:jc w:val="both"/>
              <w:rPr>
                <w:sz w:val="18"/>
                <w:szCs w:val="18"/>
              </w:rPr>
            </w:pPr>
          </w:p>
        </w:tc>
      </w:tr>
      <w:tr w:rsidR="00826421" w:rsidRPr="00826421" w14:paraId="026DE60A" w14:textId="77777777" w:rsidTr="00947A30">
        <w:trPr>
          <w:trHeight w:val="127"/>
        </w:trPr>
        <w:tc>
          <w:tcPr>
            <w:tcW w:w="908" w:type="pct"/>
            <w:tcBorders>
              <w:bottom w:val="single" w:sz="4" w:space="0" w:color="auto"/>
            </w:tcBorders>
            <w:vAlign w:val="center"/>
          </w:tcPr>
          <w:p w14:paraId="1A193033" w14:textId="77777777" w:rsidR="00826421" w:rsidRPr="00826421" w:rsidRDefault="00826421" w:rsidP="00826421">
            <w:pPr>
              <w:jc w:val="both"/>
              <w:rPr>
                <w:b/>
                <w:iCs/>
                <w:sz w:val="18"/>
                <w:szCs w:val="18"/>
              </w:rPr>
            </w:pPr>
            <w:r w:rsidRPr="00826421">
              <w:rPr>
                <w:b/>
                <w:iCs/>
                <w:sz w:val="18"/>
                <w:szCs w:val="18"/>
              </w:rPr>
              <w:t xml:space="preserve">Total </w:t>
            </w:r>
          </w:p>
        </w:tc>
        <w:tc>
          <w:tcPr>
            <w:tcW w:w="1932" w:type="pct"/>
            <w:tcBorders>
              <w:bottom w:val="single" w:sz="4" w:space="0" w:color="auto"/>
            </w:tcBorders>
            <w:vAlign w:val="center"/>
          </w:tcPr>
          <w:p w14:paraId="535AE380" w14:textId="42F32A7D" w:rsidR="00826421" w:rsidRPr="00826421" w:rsidRDefault="00FE08A1" w:rsidP="00826421">
            <w:pPr>
              <w:jc w:val="both"/>
              <w:rPr>
                <w:b/>
                <w:iCs/>
                <w:sz w:val="18"/>
                <w:szCs w:val="18"/>
              </w:rPr>
            </w:pPr>
            <w:r>
              <w:rPr>
                <w:b/>
                <w:sz w:val="18"/>
                <w:szCs w:val="18"/>
              </w:rPr>
              <w:t>498</w:t>
            </w:r>
          </w:p>
        </w:tc>
        <w:tc>
          <w:tcPr>
            <w:tcW w:w="1542" w:type="pct"/>
            <w:tcBorders>
              <w:bottom w:val="single" w:sz="4" w:space="0" w:color="auto"/>
            </w:tcBorders>
            <w:vAlign w:val="center"/>
          </w:tcPr>
          <w:p w14:paraId="60D69092" w14:textId="35DC071D" w:rsidR="00826421" w:rsidRPr="00826421" w:rsidRDefault="00FE08A1" w:rsidP="00826421">
            <w:pPr>
              <w:jc w:val="both"/>
              <w:rPr>
                <w:b/>
                <w:iCs/>
                <w:sz w:val="18"/>
                <w:szCs w:val="18"/>
              </w:rPr>
            </w:pPr>
            <w:r>
              <w:rPr>
                <w:b/>
                <w:sz w:val="18"/>
                <w:szCs w:val="18"/>
              </w:rPr>
              <w:t>876</w:t>
            </w:r>
          </w:p>
        </w:tc>
        <w:tc>
          <w:tcPr>
            <w:tcW w:w="618" w:type="pct"/>
            <w:tcBorders>
              <w:bottom w:val="single" w:sz="4" w:space="0" w:color="auto"/>
            </w:tcBorders>
            <w:vAlign w:val="center"/>
          </w:tcPr>
          <w:p w14:paraId="22752089" w14:textId="721C551E" w:rsidR="00826421" w:rsidRPr="00826421" w:rsidRDefault="00FE08A1" w:rsidP="00826421">
            <w:pPr>
              <w:jc w:val="both"/>
              <w:rPr>
                <w:b/>
                <w:sz w:val="18"/>
                <w:szCs w:val="18"/>
              </w:rPr>
            </w:pPr>
            <w:r>
              <w:rPr>
                <w:b/>
                <w:sz w:val="18"/>
                <w:szCs w:val="18"/>
              </w:rPr>
              <w:t>1,374</w:t>
            </w:r>
          </w:p>
        </w:tc>
      </w:tr>
    </w:tbl>
    <w:p w14:paraId="4D1EBEEF" w14:textId="77777777" w:rsidR="00826421" w:rsidRPr="00826421" w:rsidRDefault="00826421" w:rsidP="008C5248">
      <w:pPr>
        <w:spacing w:after="120"/>
        <w:ind w:left="425"/>
        <w:jc w:val="both"/>
        <w:rPr>
          <w:i/>
          <w:sz w:val="18"/>
          <w:szCs w:val="18"/>
          <w:lang w:val="en-US"/>
        </w:rPr>
      </w:pPr>
      <w:r w:rsidRPr="00826421">
        <w:rPr>
          <w:i/>
          <w:sz w:val="18"/>
          <w:szCs w:val="18"/>
          <w:lang w:val="en-US"/>
        </w:rPr>
        <w:t>Source: Housing LIN, AECOM calculations</w:t>
      </w:r>
    </w:p>
    <w:p w14:paraId="45DAD14A" w14:textId="35737611" w:rsidR="00826421" w:rsidRPr="00826421" w:rsidRDefault="00826421" w:rsidP="008C5248">
      <w:pPr>
        <w:pStyle w:val="Heading2"/>
      </w:pPr>
      <w:bookmarkStart w:id="208" w:name="_Toc63929355"/>
      <w:bookmarkStart w:id="209" w:name="_Toc63929356"/>
      <w:bookmarkStart w:id="210" w:name="_Toc63929357"/>
      <w:bookmarkStart w:id="211" w:name="_Toc13235062"/>
      <w:bookmarkStart w:id="212" w:name="_Toc64026825"/>
      <w:bookmarkEnd w:id="208"/>
      <w:bookmarkEnd w:id="209"/>
      <w:bookmarkEnd w:id="210"/>
      <w:r w:rsidRPr="00826421">
        <w:t xml:space="preserve">Conclusions- Specialist Housing for the </w:t>
      </w:r>
      <w:bookmarkEnd w:id="211"/>
      <w:r w:rsidR="00480CE2">
        <w:t>Older People</w:t>
      </w:r>
      <w:bookmarkEnd w:id="212"/>
    </w:p>
    <w:p w14:paraId="769BE5F6" w14:textId="451C6D76"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 xml:space="preserve">In comparing the outcomes of the tenure-led projections and the Housing LIN recommendations, it is important not to assume direct equivalence of the type of housing deemed suitable for those whose </w:t>
      </w:r>
      <w:r w:rsidR="00480CE2">
        <w:rPr>
          <w:sz w:val="18"/>
          <w:szCs w:val="18"/>
          <w:lang w:val="en-US"/>
        </w:rPr>
        <w:t>lives</w:t>
      </w:r>
      <w:r w:rsidR="00480CE2" w:rsidRPr="00826421">
        <w:rPr>
          <w:sz w:val="18"/>
          <w:szCs w:val="18"/>
          <w:lang w:val="en-US"/>
        </w:rPr>
        <w:t xml:space="preserve"> </w:t>
      </w:r>
      <w:r w:rsidRPr="00826421">
        <w:rPr>
          <w:sz w:val="18"/>
          <w:szCs w:val="18"/>
          <w:lang w:val="en-US"/>
        </w:rPr>
        <w:t xml:space="preserve">are limited ‘a little’ in </w:t>
      </w:r>
      <w:r w:rsidRPr="00826421">
        <w:rPr>
          <w:sz w:val="18"/>
          <w:szCs w:val="18"/>
          <w:lang w:val="en-US"/>
        </w:rPr>
        <w:fldChar w:fldCharType="begin"/>
      </w:r>
      <w:r w:rsidRPr="00826421">
        <w:rPr>
          <w:sz w:val="18"/>
          <w:szCs w:val="18"/>
          <w:lang w:val="en-US"/>
        </w:rPr>
        <w:instrText xml:space="preserve"> REF _Ref4491677 \h  \* MERGEFORMAT </w:instrText>
      </w:r>
      <w:r w:rsidRPr="00826421">
        <w:rPr>
          <w:sz w:val="18"/>
          <w:szCs w:val="18"/>
          <w:lang w:val="en-US"/>
        </w:rPr>
      </w:r>
      <w:r w:rsidRPr="00826421">
        <w:rPr>
          <w:sz w:val="18"/>
          <w:szCs w:val="18"/>
          <w:lang w:val="en-US"/>
        </w:rPr>
        <w:fldChar w:fldCharType="separate"/>
      </w:r>
      <w:r w:rsidR="00603781" w:rsidRPr="00603781">
        <w:rPr>
          <w:sz w:val="18"/>
          <w:szCs w:val="18"/>
          <w:lang w:val="en-US"/>
        </w:rPr>
        <w:t xml:space="preserve">Table </w:t>
      </w:r>
      <w:r w:rsidR="00603781" w:rsidRPr="00603781">
        <w:rPr>
          <w:noProof/>
          <w:sz w:val="18"/>
          <w:szCs w:val="18"/>
          <w:lang w:val="en-US"/>
        </w:rPr>
        <w:t>6</w:t>
      </w:r>
      <w:r w:rsidR="00603781" w:rsidRPr="00603781">
        <w:rPr>
          <w:noProof/>
          <w:sz w:val="18"/>
          <w:szCs w:val="18"/>
          <w:lang w:val="en-US"/>
        </w:rPr>
        <w:noBreakHyphen/>
        <w:t>7</w:t>
      </w:r>
      <w:r w:rsidRPr="00826421">
        <w:rPr>
          <w:sz w:val="18"/>
          <w:szCs w:val="18"/>
          <w:lang w:val="en-US"/>
        </w:rPr>
        <w:fldChar w:fldCharType="end"/>
      </w:r>
      <w:r w:rsidR="00FE08A1">
        <w:rPr>
          <w:sz w:val="18"/>
          <w:szCs w:val="18"/>
          <w:lang w:val="en-US"/>
        </w:rPr>
        <w:t xml:space="preserve"> </w:t>
      </w:r>
      <w:r w:rsidRPr="00826421">
        <w:rPr>
          <w:sz w:val="18"/>
          <w:szCs w:val="18"/>
          <w:lang w:val="en-US"/>
        </w:rPr>
        <w:t xml:space="preserve">with ‘sheltered housing’ in </w:t>
      </w:r>
      <w:r w:rsidRPr="00826421">
        <w:rPr>
          <w:sz w:val="18"/>
          <w:szCs w:val="18"/>
          <w:lang w:val="en-US"/>
        </w:rPr>
        <w:fldChar w:fldCharType="begin"/>
      </w:r>
      <w:r w:rsidRPr="00826421">
        <w:rPr>
          <w:sz w:val="18"/>
          <w:szCs w:val="18"/>
          <w:lang w:val="en-US"/>
        </w:rPr>
        <w:instrText xml:space="preserve"> REF _Ref531084105 \h  \* MERGEFORMAT </w:instrText>
      </w:r>
      <w:r w:rsidRPr="00826421">
        <w:rPr>
          <w:sz w:val="18"/>
          <w:szCs w:val="18"/>
          <w:lang w:val="en-US"/>
        </w:rPr>
      </w:r>
      <w:r w:rsidRPr="00826421">
        <w:rPr>
          <w:sz w:val="18"/>
          <w:szCs w:val="18"/>
          <w:lang w:val="en-US"/>
        </w:rPr>
        <w:fldChar w:fldCharType="separate"/>
      </w:r>
      <w:r w:rsidR="00603781" w:rsidRPr="00603781">
        <w:rPr>
          <w:sz w:val="18"/>
          <w:szCs w:val="18"/>
          <w:lang w:val="en-US"/>
        </w:rPr>
        <w:t xml:space="preserve">Table </w:t>
      </w:r>
      <w:r w:rsidR="00603781" w:rsidRPr="00603781">
        <w:rPr>
          <w:noProof/>
          <w:sz w:val="18"/>
          <w:szCs w:val="18"/>
          <w:lang w:val="en-US"/>
        </w:rPr>
        <w:t>6</w:t>
      </w:r>
      <w:r w:rsidR="00603781" w:rsidRPr="00603781">
        <w:rPr>
          <w:noProof/>
          <w:sz w:val="18"/>
          <w:szCs w:val="18"/>
          <w:lang w:val="en-US"/>
        </w:rPr>
        <w:noBreakHyphen/>
        <w:t>9</w:t>
      </w:r>
      <w:r w:rsidRPr="00826421">
        <w:rPr>
          <w:sz w:val="18"/>
          <w:szCs w:val="18"/>
          <w:lang w:val="en-US"/>
        </w:rPr>
        <w:fldChar w:fldCharType="end"/>
      </w:r>
      <w:r w:rsidR="008655D4">
        <w:rPr>
          <w:sz w:val="18"/>
          <w:szCs w:val="18"/>
          <w:lang w:val="en-US"/>
        </w:rPr>
        <w:t xml:space="preserve"> </w:t>
      </w:r>
      <w:r w:rsidRPr="00826421">
        <w:rPr>
          <w:sz w:val="18"/>
          <w:szCs w:val="18"/>
          <w:lang w:val="en-US"/>
        </w:rPr>
        <w:t xml:space="preserve">even though both types of housing address the needs of those with relatively </w:t>
      </w:r>
      <w:r w:rsidR="00480CE2">
        <w:rPr>
          <w:sz w:val="18"/>
          <w:szCs w:val="18"/>
          <w:lang w:val="en-US"/>
        </w:rPr>
        <w:t>limited support needs</w:t>
      </w:r>
      <w:r w:rsidRPr="00826421">
        <w:rPr>
          <w:sz w:val="18"/>
          <w:szCs w:val="18"/>
          <w:lang w:val="en-US"/>
        </w:rPr>
        <w:t>. This is because there is a range of housing suitable for this group of the population</w:t>
      </w:r>
      <w:r w:rsidR="00480CE2">
        <w:rPr>
          <w:sz w:val="18"/>
          <w:szCs w:val="18"/>
          <w:lang w:val="en-US"/>
        </w:rPr>
        <w:t xml:space="preserve"> including mainstream housing</w:t>
      </w:r>
      <w:r w:rsidRPr="00826421">
        <w:rPr>
          <w:sz w:val="18"/>
          <w:szCs w:val="18"/>
          <w:lang w:val="en-US"/>
        </w:rPr>
        <w:t>, whereas the HLIN identifies only sheltered housing specifically.</w:t>
      </w:r>
    </w:p>
    <w:p w14:paraId="55D205A7" w14:textId="5D26A824"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 xml:space="preserve">A more accurate result, therefore, can be achieved by comparing the </w:t>
      </w:r>
      <w:r w:rsidR="006E76DE">
        <w:rPr>
          <w:sz w:val="18"/>
          <w:szCs w:val="18"/>
          <w:lang w:val="en-US"/>
        </w:rPr>
        <w:t>1,029</w:t>
      </w:r>
      <w:r w:rsidRPr="00826421">
        <w:rPr>
          <w:sz w:val="18"/>
          <w:szCs w:val="18"/>
          <w:lang w:val="en-US"/>
        </w:rPr>
        <w:t xml:space="preserve"> dwellings identified in the tenure-led approach for those who require housing with care with the </w:t>
      </w:r>
      <w:r w:rsidR="00FE08A1">
        <w:rPr>
          <w:sz w:val="18"/>
          <w:szCs w:val="18"/>
          <w:lang w:val="en-US"/>
        </w:rPr>
        <w:t>1,374</w:t>
      </w:r>
      <w:r w:rsidRPr="00826421">
        <w:rPr>
          <w:sz w:val="18"/>
          <w:szCs w:val="18"/>
          <w:lang w:val="en-US"/>
        </w:rPr>
        <w:t xml:space="preserve"> specialist dwellings that emerge from the HLIN calculations. By contrast, the </w:t>
      </w:r>
      <w:r w:rsidR="00043740">
        <w:rPr>
          <w:sz w:val="18"/>
          <w:szCs w:val="18"/>
          <w:lang w:val="en-US"/>
        </w:rPr>
        <w:t xml:space="preserve">total </w:t>
      </w:r>
      <w:r w:rsidR="006E76DE">
        <w:rPr>
          <w:sz w:val="18"/>
          <w:szCs w:val="18"/>
          <w:lang w:val="en-US"/>
        </w:rPr>
        <w:t>2,291</w:t>
      </w:r>
      <w:r w:rsidRPr="00826421">
        <w:rPr>
          <w:sz w:val="18"/>
          <w:szCs w:val="18"/>
          <w:lang w:val="en-US"/>
        </w:rPr>
        <w:t xml:space="preserve"> figure in the tenure-led projections is </w:t>
      </w:r>
      <w:r w:rsidR="00043740">
        <w:rPr>
          <w:sz w:val="18"/>
          <w:szCs w:val="18"/>
          <w:lang w:val="en-US"/>
        </w:rPr>
        <w:t xml:space="preserve">also </w:t>
      </w:r>
      <w:r w:rsidRPr="00826421">
        <w:rPr>
          <w:sz w:val="18"/>
          <w:szCs w:val="18"/>
          <w:lang w:val="en-US"/>
        </w:rPr>
        <w:t>based on those whose day-to-day needs are limited only a little, and whose housing needs therefore have the potential to be provided through adaptations to a conventional home.</w:t>
      </w:r>
    </w:p>
    <w:p w14:paraId="752FB819" w14:textId="0C6C2C89"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For this reason, our recommendation would be to treat the</w:t>
      </w:r>
      <w:r w:rsidR="00480CE2">
        <w:rPr>
          <w:sz w:val="18"/>
          <w:szCs w:val="18"/>
          <w:lang w:val="en-US"/>
        </w:rPr>
        <w:t xml:space="preserve"> outcome of the</w:t>
      </w:r>
      <w:r w:rsidRPr="00826421">
        <w:rPr>
          <w:sz w:val="18"/>
          <w:szCs w:val="18"/>
          <w:lang w:val="en-US"/>
        </w:rPr>
        <w:t xml:space="preserve">se </w:t>
      </w:r>
      <w:r w:rsidR="00480CE2">
        <w:rPr>
          <w:sz w:val="18"/>
          <w:szCs w:val="18"/>
          <w:lang w:val="en-US"/>
        </w:rPr>
        <w:t>approaches</w:t>
      </w:r>
      <w:r w:rsidR="00480CE2" w:rsidRPr="00826421">
        <w:rPr>
          <w:sz w:val="18"/>
          <w:szCs w:val="18"/>
          <w:lang w:val="en-US"/>
        </w:rPr>
        <w:t xml:space="preserve"> </w:t>
      </w:r>
      <w:r w:rsidRPr="00826421">
        <w:rPr>
          <w:sz w:val="18"/>
          <w:szCs w:val="18"/>
          <w:lang w:val="en-US"/>
        </w:rPr>
        <w:t xml:space="preserve">as a range, with at least </w:t>
      </w:r>
      <w:r w:rsidR="006E76DE">
        <w:rPr>
          <w:sz w:val="18"/>
          <w:szCs w:val="18"/>
          <w:lang w:val="en-US"/>
        </w:rPr>
        <w:t>1,029</w:t>
      </w:r>
      <w:r w:rsidRPr="00826421">
        <w:rPr>
          <w:sz w:val="18"/>
          <w:szCs w:val="18"/>
          <w:lang w:val="en-US"/>
        </w:rPr>
        <w:t xml:space="preserve"> specialist dwellings being required to service the needs of </w:t>
      </w:r>
      <w:r w:rsidR="00362D4F">
        <w:rPr>
          <w:sz w:val="18"/>
          <w:szCs w:val="18"/>
          <w:lang w:val="en-US"/>
        </w:rPr>
        <w:t>older</w:t>
      </w:r>
      <w:r w:rsidR="00362D4F" w:rsidRPr="00826421">
        <w:rPr>
          <w:sz w:val="18"/>
          <w:szCs w:val="18"/>
          <w:lang w:val="en-US"/>
        </w:rPr>
        <w:t xml:space="preserve"> </w:t>
      </w:r>
      <w:r w:rsidRPr="00826421">
        <w:rPr>
          <w:sz w:val="18"/>
          <w:szCs w:val="18"/>
          <w:lang w:val="en-US"/>
        </w:rPr>
        <w:t xml:space="preserve">people over the Plan period, and the projection of  </w:t>
      </w:r>
      <w:r w:rsidR="006E76DE">
        <w:rPr>
          <w:sz w:val="18"/>
          <w:szCs w:val="18"/>
          <w:lang w:val="en-US"/>
        </w:rPr>
        <w:t>1,374</w:t>
      </w:r>
      <w:r w:rsidR="00043740">
        <w:rPr>
          <w:sz w:val="18"/>
          <w:szCs w:val="18"/>
          <w:lang w:val="en-US"/>
        </w:rPr>
        <w:t xml:space="preserve"> </w:t>
      </w:r>
      <w:r w:rsidRPr="00826421">
        <w:rPr>
          <w:sz w:val="18"/>
          <w:szCs w:val="18"/>
          <w:lang w:val="en-US"/>
        </w:rPr>
        <w:t>dwellings functioning as an upper, more aspirational target, to be provided if other constraints allow.</w:t>
      </w:r>
    </w:p>
    <w:p w14:paraId="77EBD9BC" w14:textId="6FB08811"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 xml:space="preserve">While it is important to maximise the accessibility of all new housing, it is particularly important for specialist housing for </w:t>
      </w:r>
      <w:r w:rsidR="009D37F5">
        <w:rPr>
          <w:sz w:val="18"/>
          <w:szCs w:val="18"/>
          <w:lang w:val="en-US"/>
        </w:rPr>
        <w:t>older people</w:t>
      </w:r>
      <w:r w:rsidRPr="00826421">
        <w:rPr>
          <w:sz w:val="18"/>
          <w:szCs w:val="18"/>
          <w:lang w:val="en-US"/>
        </w:rPr>
        <w:t xml:space="preserve"> to be provided in sustainable, accessible locations, for a number of reasons, as follows:</w:t>
      </w:r>
    </w:p>
    <w:p w14:paraId="2E0CFBF5" w14:textId="77777777" w:rsidR="00826421" w:rsidRPr="008C5248" w:rsidRDefault="00826421" w:rsidP="008C5248">
      <w:pPr>
        <w:pStyle w:val="ListParagraph"/>
        <w:numPr>
          <w:ilvl w:val="0"/>
          <w:numId w:val="22"/>
        </w:numPr>
        <w:spacing w:after="120"/>
        <w:rPr>
          <w:sz w:val="18"/>
          <w:szCs w:val="18"/>
        </w:rPr>
      </w:pPr>
      <w:r w:rsidRPr="008C5248">
        <w:rPr>
          <w:sz w:val="18"/>
          <w:szCs w:val="18"/>
        </w:rPr>
        <w:t>so that residents, who often lack cars of their own, are able to access local services and facilities, such as shops and doctor’s surgeries, on foot;</w:t>
      </w:r>
    </w:p>
    <w:p w14:paraId="432AA6D1" w14:textId="77777777" w:rsidR="00826421" w:rsidRPr="008C5248" w:rsidRDefault="00826421" w:rsidP="008C5248">
      <w:pPr>
        <w:pStyle w:val="ListParagraph"/>
        <w:numPr>
          <w:ilvl w:val="0"/>
          <w:numId w:val="22"/>
        </w:numPr>
        <w:spacing w:after="120"/>
        <w:rPr>
          <w:sz w:val="18"/>
          <w:szCs w:val="18"/>
        </w:rPr>
      </w:pPr>
      <w:r w:rsidRPr="008C5248">
        <w:rPr>
          <w:sz w:val="18"/>
          <w:szCs w:val="18"/>
        </w:rPr>
        <w:t>so that any staff working there have the choice to access their workplace by more sustainable transport modes; and</w:t>
      </w:r>
    </w:p>
    <w:p w14:paraId="564E7E56" w14:textId="77777777" w:rsidR="00826421" w:rsidRPr="008C5248" w:rsidRDefault="00826421" w:rsidP="008C5248">
      <w:pPr>
        <w:pStyle w:val="ListParagraph"/>
        <w:numPr>
          <w:ilvl w:val="0"/>
          <w:numId w:val="22"/>
        </w:numPr>
        <w:spacing w:after="120"/>
        <w:rPr>
          <w:sz w:val="18"/>
          <w:szCs w:val="18"/>
        </w:rPr>
      </w:pPr>
      <w:r w:rsidRPr="008C5248">
        <w:rPr>
          <w:sz w:val="18"/>
          <w:szCs w:val="18"/>
        </w:rPr>
        <w:t>so that family members and other visitors have the choice to access relatives and friends living in specialist accommodation by more sustainable transport modes.</w:t>
      </w:r>
    </w:p>
    <w:p w14:paraId="1C517DFD" w14:textId="77777777"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Alongside the need for specialist housing to be provided in accessible locations, another important requirement is for cost effectiveness and economies of scale. This can be achieved by serving the specialist elderly housing needs arising from a number of different locations and/or neighbourhood plan areas from a single, centralised point (i.e. what is sometimes referred to as a ‘hub-and-spoke’ model).</w:t>
      </w:r>
    </w:p>
    <w:p w14:paraId="2A91D8CC" w14:textId="1DB427C5" w:rsidR="00826421" w:rsidRPr="00826421" w:rsidRDefault="00826421" w:rsidP="00826421">
      <w:pPr>
        <w:numPr>
          <w:ilvl w:val="0"/>
          <w:numId w:val="15"/>
        </w:numPr>
        <w:spacing w:before="0" w:after="120"/>
        <w:jc w:val="both"/>
        <w:rPr>
          <w:sz w:val="18"/>
          <w:szCs w:val="18"/>
          <w:lang w:val="en-US"/>
        </w:rPr>
      </w:pPr>
      <w:r w:rsidRPr="00826421">
        <w:rPr>
          <w:sz w:val="18"/>
          <w:szCs w:val="18"/>
          <w:lang w:val="en-US"/>
        </w:rPr>
        <w:t xml:space="preserve">It is considered that </w:t>
      </w:r>
      <w:r w:rsidR="0015105E">
        <w:rPr>
          <w:sz w:val="18"/>
          <w:szCs w:val="18"/>
          <w:lang w:val="en-US"/>
        </w:rPr>
        <w:t>Weymouth</w:t>
      </w:r>
      <w:r w:rsidRPr="00826421">
        <w:rPr>
          <w:sz w:val="18"/>
          <w:szCs w:val="18"/>
          <w:lang w:val="en-US"/>
        </w:rPr>
        <w:t xml:space="preserve"> is, in broad terms, a suitable location for specialist accommodation on the basis of the accessibility criteria and the considerations of cost-effectiveness above. As such, there is potential for such accommodation to be provided within the </w:t>
      </w:r>
      <w:r w:rsidRPr="00826421">
        <w:rPr>
          <w:sz w:val="18"/>
          <w:szCs w:val="18"/>
        </w:rPr>
        <w:t>Neighbourhood</w:t>
      </w:r>
      <w:r w:rsidRPr="00826421">
        <w:rPr>
          <w:sz w:val="18"/>
          <w:szCs w:val="18"/>
          <w:lang w:val="en-US"/>
        </w:rPr>
        <w:t xml:space="preserve"> Plan area (while noting there is no specific requirement or obligation to do so if there is potential to meet need arising from </w:t>
      </w:r>
      <w:r w:rsidR="0015105E">
        <w:rPr>
          <w:sz w:val="18"/>
          <w:szCs w:val="18"/>
          <w:lang w:val="en-US"/>
        </w:rPr>
        <w:t>Weymouth</w:t>
      </w:r>
      <w:r w:rsidRPr="00826421">
        <w:rPr>
          <w:sz w:val="18"/>
          <w:szCs w:val="18"/>
          <w:lang w:val="en-US"/>
        </w:rPr>
        <w:t xml:space="preserve"> in other suitable locations near to but outside the Plan area boundaries). Where it is considered for any reason desirable to meet some of the specialist need outside the </w:t>
      </w:r>
      <w:r w:rsidRPr="00826421">
        <w:rPr>
          <w:sz w:val="18"/>
          <w:szCs w:val="18"/>
        </w:rPr>
        <w:t>Neighbourhood</w:t>
      </w:r>
      <w:r w:rsidRPr="00826421">
        <w:rPr>
          <w:sz w:val="18"/>
          <w:szCs w:val="18"/>
          <w:lang w:val="en-US"/>
        </w:rPr>
        <w:t xml:space="preserve"> Plan area boundaries, there will be a degree of overlap between the number of specialist dwellings to be provided and the overall dwellings target for the </w:t>
      </w:r>
      <w:r w:rsidRPr="00826421">
        <w:rPr>
          <w:sz w:val="18"/>
          <w:szCs w:val="18"/>
        </w:rPr>
        <w:t>Neighbourhood</w:t>
      </w:r>
      <w:r w:rsidRPr="00826421">
        <w:rPr>
          <w:sz w:val="18"/>
          <w:szCs w:val="18"/>
          <w:lang w:val="en-US"/>
        </w:rPr>
        <w:t xml:space="preserve"> Plan area itself.</w:t>
      </w:r>
    </w:p>
    <w:p w14:paraId="11785FB4" w14:textId="6D8DF966" w:rsidR="00826421" w:rsidRPr="00826421" w:rsidRDefault="00826421" w:rsidP="00826421">
      <w:pPr>
        <w:numPr>
          <w:ilvl w:val="0"/>
          <w:numId w:val="15"/>
        </w:numPr>
        <w:spacing w:before="0" w:after="120"/>
        <w:jc w:val="both"/>
        <w:rPr>
          <w:color w:val="FF0000"/>
          <w:sz w:val="18"/>
          <w:szCs w:val="18"/>
          <w:lang w:val="en-US"/>
        </w:rPr>
      </w:pPr>
      <w:r w:rsidRPr="00826421">
        <w:rPr>
          <w:sz w:val="18"/>
          <w:szCs w:val="18"/>
          <w:lang w:val="en-US"/>
        </w:rPr>
        <w:t xml:space="preserve">Wherever specialist housing is to be accommodated, partnership working with specialist developers is recommended, so as to introduce a greater degree of choice into the housing options for </w:t>
      </w:r>
      <w:r w:rsidR="009D37F5">
        <w:rPr>
          <w:sz w:val="18"/>
          <w:szCs w:val="18"/>
          <w:lang w:val="en-US"/>
        </w:rPr>
        <w:t>older</w:t>
      </w:r>
      <w:r w:rsidR="009D37F5" w:rsidRPr="00826421">
        <w:rPr>
          <w:sz w:val="18"/>
          <w:szCs w:val="18"/>
          <w:lang w:val="en-US"/>
        </w:rPr>
        <w:t xml:space="preserve"> </w:t>
      </w:r>
      <w:r w:rsidRPr="00826421">
        <w:rPr>
          <w:sz w:val="18"/>
          <w:szCs w:val="18"/>
          <w:lang w:val="en-US"/>
        </w:rPr>
        <w:t xml:space="preserve">people who </w:t>
      </w:r>
      <w:r w:rsidR="009D37F5">
        <w:rPr>
          <w:sz w:val="18"/>
          <w:szCs w:val="18"/>
          <w:lang w:val="en-US"/>
        </w:rPr>
        <w:t>wish to move in later life</w:t>
      </w:r>
      <w:r w:rsidRPr="00826421">
        <w:rPr>
          <w:sz w:val="18"/>
          <w:szCs w:val="18"/>
          <w:lang w:val="en-US"/>
        </w:rPr>
        <w:t xml:space="preserve">. </w:t>
      </w:r>
    </w:p>
    <w:p w14:paraId="51FC2AFF" w14:textId="77777777" w:rsidR="00826421" w:rsidRPr="00826421" w:rsidRDefault="00826421" w:rsidP="00826421">
      <w:pPr>
        <w:spacing w:before="0" w:after="0" w:line="240" w:lineRule="auto"/>
        <w:rPr>
          <w:color w:val="FF0000"/>
          <w:sz w:val="18"/>
          <w:szCs w:val="18"/>
          <w:lang w:val="en-US"/>
        </w:rPr>
      </w:pPr>
      <w:r w:rsidRPr="00826421">
        <w:rPr>
          <w:color w:val="FF0000"/>
          <w:sz w:val="18"/>
          <w:szCs w:val="18"/>
        </w:rPr>
        <w:br w:type="page"/>
      </w:r>
    </w:p>
    <w:p w14:paraId="59040717" w14:textId="77777777" w:rsidR="002C2D5C" w:rsidRPr="00C63C56" w:rsidRDefault="002C2D5C" w:rsidP="002C2D5C">
      <w:pPr>
        <w:pStyle w:val="Heading1"/>
        <w:jc w:val="both"/>
        <w:rPr>
          <w:lang w:val="en-US"/>
        </w:rPr>
      </w:pPr>
      <w:bookmarkStart w:id="213" w:name="_Toc64026826"/>
      <w:r w:rsidRPr="00C63C56">
        <w:rPr>
          <w:lang w:val="en-US"/>
        </w:rPr>
        <w:t>Conclusions</w:t>
      </w:r>
      <w:bookmarkEnd w:id="77"/>
      <w:bookmarkEnd w:id="78"/>
      <w:bookmarkEnd w:id="213"/>
    </w:p>
    <w:p w14:paraId="0A90D2DA" w14:textId="77777777" w:rsidR="002C2D5C" w:rsidRDefault="002C2D5C" w:rsidP="002C2D5C">
      <w:pPr>
        <w:pStyle w:val="Heading2"/>
        <w:jc w:val="both"/>
      </w:pPr>
      <w:bookmarkStart w:id="214" w:name="_Toc445878370"/>
      <w:bookmarkStart w:id="215" w:name="_Toc461696228"/>
      <w:bookmarkStart w:id="216" w:name="_Toc64026827"/>
      <w:bookmarkStart w:id="217" w:name="_Toc425332021"/>
      <w:r w:rsidRPr="00C63C56">
        <w:t>Overview</w:t>
      </w:r>
      <w:bookmarkEnd w:id="214"/>
      <w:bookmarkEnd w:id="215"/>
      <w:bookmarkEnd w:id="216"/>
    </w:p>
    <w:p w14:paraId="70F5B256" w14:textId="5B391451" w:rsidR="002C2D5C" w:rsidRDefault="00965CE9" w:rsidP="00A82210">
      <w:pPr>
        <w:pStyle w:val="ListNumber"/>
      </w:pPr>
      <w:r>
        <w:fldChar w:fldCharType="begin"/>
      </w:r>
      <w:r>
        <w:instrText xml:space="preserve"> REF _Ref7965312 \h </w:instrText>
      </w:r>
      <w:r>
        <w:fldChar w:fldCharType="separate"/>
      </w:r>
      <w:r w:rsidR="00603781" w:rsidRPr="00965CE9">
        <w:t xml:space="preserve">Table </w:t>
      </w:r>
      <w:r w:rsidR="00603781">
        <w:rPr>
          <w:noProof/>
        </w:rPr>
        <w:t>7</w:t>
      </w:r>
      <w:r w:rsidR="00603781">
        <w:noBreakHyphen/>
      </w:r>
      <w:r w:rsidR="00603781">
        <w:rPr>
          <w:noProof/>
        </w:rPr>
        <w:t>1</w:t>
      </w:r>
      <w:r>
        <w:fldChar w:fldCharType="end"/>
      </w:r>
      <w:r>
        <w:t xml:space="preserve"> below sets out in full the conclusions and recommendations of this </w:t>
      </w:r>
      <w:r w:rsidR="00A50BD6">
        <w:t>Neighbourhood P</w:t>
      </w:r>
      <w:r w:rsidR="00B909CB">
        <w:t>lan housing needs assessment, based on the evidence reviewed and analysed</w:t>
      </w:r>
      <w:r>
        <w:t>.</w:t>
      </w:r>
    </w:p>
    <w:p w14:paraId="336C6D93" w14:textId="367F412E" w:rsidR="00965CE9" w:rsidRPr="00965CE9" w:rsidRDefault="002C2D5C" w:rsidP="00832DE0">
      <w:pPr>
        <w:pStyle w:val="Caption"/>
        <w:jc w:val="both"/>
      </w:pPr>
      <w:bookmarkStart w:id="218" w:name="_Ref7965312"/>
      <w:r w:rsidRPr="00965CE9">
        <w:rPr>
          <w:sz w:val="18"/>
          <w:szCs w:val="18"/>
        </w:rPr>
        <w:t xml:space="preserve">Table </w:t>
      </w:r>
      <w:r w:rsidR="00BA4C32">
        <w:rPr>
          <w:b w:val="0"/>
          <w:bCs w:val="0"/>
          <w:sz w:val="18"/>
          <w:szCs w:val="18"/>
        </w:rPr>
        <w:fldChar w:fldCharType="begin"/>
      </w:r>
      <w:r w:rsidR="00BA4C32">
        <w:rPr>
          <w:sz w:val="18"/>
          <w:szCs w:val="18"/>
        </w:rPr>
        <w:instrText xml:space="preserve"> STYLEREF 1 \s </w:instrText>
      </w:r>
      <w:r w:rsidR="00BA4C32">
        <w:rPr>
          <w:b w:val="0"/>
          <w:bCs w:val="0"/>
          <w:sz w:val="18"/>
          <w:szCs w:val="18"/>
        </w:rPr>
        <w:fldChar w:fldCharType="separate"/>
      </w:r>
      <w:r w:rsidR="00BA4C32">
        <w:rPr>
          <w:noProof/>
          <w:sz w:val="18"/>
          <w:szCs w:val="18"/>
        </w:rPr>
        <w:t>7</w:t>
      </w:r>
      <w:r w:rsidR="00BA4C32">
        <w:rPr>
          <w:b w:val="0"/>
          <w:bCs w:val="0"/>
          <w:sz w:val="18"/>
          <w:szCs w:val="18"/>
        </w:rPr>
        <w:fldChar w:fldCharType="end"/>
      </w:r>
      <w:r w:rsidR="00BA4C32">
        <w:rPr>
          <w:sz w:val="18"/>
          <w:szCs w:val="18"/>
        </w:rPr>
        <w:noBreakHyphen/>
      </w:r>
      <w:r w:rsidR="00BA4C32">
        <w:rPr>
          <w:b w:val="0"/>
          <w:bCs w:val="0"/>
          <w:sz w:val="18"/>
          <w:szCs w:val="18"/>
        </w:rPr>
        <w:fldChar w:fldCharType="begin"/>
      </w:r>
      <w:r w:rsidR="00BA4C32">
        <w:rPr>
          <w:sz w:val="18"/>
          <w:szCs w:val="18"/>
        </w:rPr>
        <w:instrText xml:space="preserve"> SEQ Table \* ARABIC \s 1 </w:instrText>
      </w:r>
      <w:r w:rsidR="00BA4C32">
        <w:rPr>
          <w:b w:val="0"/>
          <w:bCs w:val="0"/>
          <w:sz w:val="18"/>
          <w:szCs w:val="18"/>
        </w:rPr>
        <w:fldChar w:fldCharType="separate"/>
      </w:r>
      <w:r w:rsidR="00BA4C32">
        <w:rPr>
          <w:noProof/>
          <w:sz w:val="18"/>
          <w:szCs w:val="18"/>
        </w:rPr>
        <w:t>1</w:t>
      </w:r>
      <w:r w:rsidR="00BA4C32">
        <w:rPr>
          <w:b w:val="0"/>
          <w:bCs w:val="0"/>
          <w:sz w:val="18"/>
          <w:szCs w:val="18"/>
        </w:rPr>
        <w:fldChar w:fldCharType="end"/>
      </w:r>
      <w:bookmarkEnd w:id="218"/>
      <w:r w:rsidR="00965CE9">
        <w:rPr>
          <w:sz w:val="18"/>
          <w:szCs w:val="18"/>
          <w:lang w:val="en-US"/>
        </w:rPr>
        <w:t>: Summary of study findings</w:t>
      </w:r>
      <w:r w:rsidRPr="00965CE9">
        <w:rPr>
          <w:sz w:val="18"/>
          <w:szCs w:val="18"/>
          <w:lang w:val="en-US"/>
        </w:rPr>
        <w:t xml:space="preserve"> specific to </w:t>
      </w:r>
      <w:r w:rsidR="0015105E">
        <w:rPr>
          <w:sz w:val="18"/>
          <w:szCs w:val="18"/>
          <w:lang w:val="en-US"/>
        </w:rPr>
        <w:t>Weymouth</w:t>
      </w:r>
      <w:r w:rsidR="00647F88" w:rsidRPr="00965CE9">
        <w:rPr>
          <w:sz w:val="18"/>
          <w:szCs w:val="18"/>
          <w:lang w:val="en-US"/>
        </w:rPr>
        <w:t xml:space="preserve"> </w:t>
      </w:r>
      <w:r w:rsidR="00A50BD6">
        <w:rPr>
          <w:sz w:val="18"/>
          <w:szCs w:val="18"/>
          <w:lang w:val="en-US"/>
        </w:rPr>
        <w:t>with a potential impact on Neighbourhood P</w:t>
      </w:r>
      <w:r w:rsidRPr="00965CE9">
        <w:rPr>
          <w:sz w:val="18"/>
          <w:szCs w:val="18"/>
          <w:lang w:val="en-US"/>
        </w:rPr>
        <w:t xml:space="preserve">lan </w:t>
      </w:r>
      <w:r w:rsidR="00A50BD6">
        <w:rPr>
          <w:sz w:val="18"/>
          <w:szCs w:val="18"/>
        </w:rPr>
        <w:t>housing policie</w:t>
      </w:r>
      <w:r w:rsidRPr="00965CE9">
        <w:rPr>
          <w:sz w:val="18"/>
          <w:szCs w:val="18"/>
        </w:rPr>
        <w:t>s</w:t>
      </w:r>
    </w:p>
    <w:tbl>
      <w:tblPr>
        <w:tblW w:w="94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8"/>
        <w:gridCol w:w="3038"/>
        <w:gridCol w:w="3039"/>
      </w:tblGrid>
      <w:tr w:rsidR="002C2D5C" w:rsidRPr="00C63C56" w14:paraId="0A4DEC57" w14:textId="77777777" w:rsidTr="00263FED">
        <w:trPr>
          <w:cantSplit/>
          <w:trHeight w:val="545"/>
          <w:tblHeader/>
        </w:trPr>
        <w:tc>
          <w:tcPr>
            <w:tcW w:w="1984" w:type="dxa"/>
            <w:shd w:val="clear" w:color="auto" w:fill="000000" w:themeFill="text1"/>
            <w:hideMark/>
          </w:tcPr>
          <w:p w14:paraId="2A0C53E5" w14:textId="68A3DC65" w:rsidR="002C2D5C" w:rsidRPr="00DA4FE7" w:rsidRDefault="00965CE9" w:rsidP="00965CE9">
            <w:pPr>
              <w:pStyle w:val="BodyText"/>
              <w:rPr>
                <w:b/>
                <w:color w:val="FFFFFF" w:themeColor="background1"/>
                <w:sz w:val="18"/>
                <w:szCs w:val="18"/>
              </w:rPr>
            </w:pPr>
            <w:r w:rsidRPr="00DA4FE7">
              <w:rPr>
                <w:b/>
                <w:color w:val="FFFFFF" w:themeColor="background1"/>
                <w:sz w:val="18"/>
                <w:szCs w:val="18"/>
              </w:rPr>
              <w:t>Issue</w:t>
            </w:r>
          </w:p>
        </w:tc>
        <w:tc>
          <w:tcPr>
            <w:tcW w:w="1418" w:type="dxa"/>
            <w:shd w:val="clear" w:color="auto" w:fill="000000" w:themeFill="text1"/>
            <w:hideMark/>
          </w:tcPr>
          <w:p w14:paraId="35FB30FD" w14:textId="77777777" w:rsidR="002C2D5C" w:rsidRPr="00DA4FE7" w:rsidRDefault="002C2D5C" w:rsidP="00965CE9">
            <w:pPr>
              <w:pStyle w:val="BodyText"/>
              <w:rPr>
                <w:b/>
                <w:color w:val="FFFFFF" w:themeColor="background1"/>
                <w:sz w:val="18"/>
                <w:szCs w:val="18"/>
              </w:rPr>
            </w:pPr>
            <w:r w:rsidRPr="00DA4FE7">
              <w:rPr>
                <w:b/>
                <w:color w:val="FFFFFF" w:themeColor="background1"/>
                <w:sz w:val="18"/>
                <w:szCs w:val="18"/>
              </w:rPr>
              <w:t>Source(s)          (see Chapter 3)</w:t>
            </w:r>
          </w:p>
        </w:tc>
        <w:tc>
          <w:tcPr>
            <w:tcW w:w="3038" w:type="dxa"/>
            <w:shd w:val="clear" w:color="auto" w:fill="000000" w:themeFill="text1"/>
            <w:hideMark/>
          </w:tcPr>
          <w:p w14:paraId="0093279D" w14:textId="55831C7C" w:rsidR="002C2D5C" w:rsidRPr="00DA4FE7" w:rsidRDefault="00965CE9" w:rsidP="00965CE9">
            <w:pPr>
              <w:pStyle w:val="BodyText"/>
              <w:rPr>
                <w:b/>
                <w:color w:val="FFFFFF" w:themeColor="background1"/>
                <w:sz w:val="18"/>
                <w:szCs w:val="18"/>
              </w:rPr>
            </w:pPr>
            <w:r w:rsidRPr="00DA4FE7">
              <w:rPr>
                <w:b/>
                <w:color w:val="FFFFFF" w:themeColor="background1"/>
                <w:sz w:val="18"/>
                <w:szCs w:val="18"/>
              </w:rPr>
              <w:t>Summary of evidence and data assessed</w:t>
            </w:r>
          </w:p>
        </w:tc>
        <w:tc>
          <w:tcPr>
            <w:tcW w:w="3039" w:type="dxa"/>
            <w:shd w:val="clear" w:color="auto" w:fill="000000" w:themeFill="text1"/>
          </w:tcPr>
          <w:p w14:paraId="28637360" w14:textId="21E8A527" w:rsidR="002C2D5C" w:rsidRPr="00DA4FE7" w:rsidRDefault="002C2D5C" w:rsidP="00965CE9">
            <w:pPr>
              <w:pStyle w:val="BodyText"/>
              <w:rPr>
                <w:b/>
                <w:color w:val="FFFFFF" w:themeColor="background1"/>
                <w:sz w:val="18"/>
                <w:szCs w:val="18"/>
              </w:rPr>
            </w:pPr>
            <w:r w:rsidRPr="00DA4FE7">
              <w:rPr>
                <w:b/>
                <w:color w:val="FFFFFF" w:themeColor="background1"/>
                <w:sz w:val="18"/>
                <w:szCs w:val="18"/>
              </w:rPr>
              <w:t>Conclusion</w:t>
            </w:r>
            <w:r w:rsidR="00965CE9" w:rsidRPr="00DA4FE7">
              <w:rPr>
                <w:b/>
                <w:color w:val="FFFFFF" w:themeColor="background1"/>
                <w:sz w:val="18"/>
                <w:szCs w:val="18"/>
              </w:rPr>
              <w:t>s and recommendations</w:t>
            </w:r>
          </w:p>
        </w:tc>
      </w:tr>
      <w:tr w:rsidR="00DA4FE7" w:rsidRPr="00C63C56" w14:paraId="5BE7B684" w14:textId="77777777" w:rsidTr="00263FED">
        <w:trPr>
          <w:cantSplit/>
          <w:trHeight w:val="501"/>
        </w:trPr>
        <w:tc>
          <w:tcPr>
            <w:tcW w:w="1984" w:type="dxa"/>
            <w:vAlign w:val="center"/>
          </w:tcPr>
          <w:p w14:paraId="2EE46212" w14:textId="5A47134F" w:rsidR="00DA4FE7" w:rsidRPr="00DA4FE7" w:rsidRDefault="00DA4FE7" w:rsidP="00C378B2">
            <w:pPr>
              <w:pStyle w:val="BodyText"/>
              <w:jc w:val="both"/>
              <w:rPr>
                <w:sz w:val="18"/>
                <w:szCs w:val="18"/>
              </w:rPr>
            </w:pPr>
            <w:r w:rsidRPr="00DA4FE7">
              <w:rPr>
                <w:sz w:val="18"/>
                <w:szCs w:val="18"/>
              </w:rPr>
              <w:t>Quantity of affordable housing to plan for</w:t>
            </w:r>
          </w:p>
        </w:tc>
        <w:tc>
          <w:tcPr>
            <w:tcW w:w="1418" w:type="dxa"/>
          </w:tcPr>
          <w:p w14:paraId="1176E49E" w14:textId="16C6F2A5" w:rsidR="00DA4FE7" w:rsidRDefault="00115FBF" w:rsidP="00DA4FE7">
            <w:pPr>
              <w:pStyle w:val="BodyText"/>
              <w:rPr>
                <w:sz w:val="18"/>
                <w:szCs w:val="18"/>
              </w:rPr>
            </w:pPr>
            <w:r>
              <w:rPr>
                <w:sz w:val="18"/>
                <w:szCs w:val="18"/>
              </w:rPr>
              <w:t>SHMA</w:t>
            </w:r>
          </w:p>
          <w:p w14:paraId="717DA6E7" w14:textId="77777777" w:rsidR="00115FBF" w:rsidRDefault="00115FBF" w:rsidP="00DA4FE7">
            <w:pPr>
              <w:pStyle w:val="BodyText"/>
              <w:rPr>
                <w:sz w:val="18"/>
                <w:szCs w:val="18"/>
              </w:rPr>
            </w:pPr>
            <w:r>
              <w:rPr>
                <w:sz w:val="18"/>
                <w:szCs w:val="18"/>
              </w:rPr>
              <w:t>Census</w:t>
            </w:r>
          </w:p>
          <w:p w14:paraId="318EF0D2" w14:textId="77777777" w:rsidR="00115FBF" w:rsidRDefault="00115FBF" w:rsidP="00DA4FE7">
            <w:pPr>
              <w:pStyle w:val="BodyText"/>
              <w:rPr>
                <w:sz w:val="18"/>
                <w:szCs w:val="18"/>
              </w:rPr>
            </w:pPr>
            <w:r>
              <w:rPr>
                <w:sz w:val="18"/>
                <w:szCs w:val="18"/>
              </w:rPr>
              <w:t>Local Authority Housing Waiting List</w:t>
            </w:r>
          </w:p>
          <w:p w14:paraId="0A932196" w14:textId="58AA82A7" w:rsidR="00115FBF" w:rsidRPr="008A604F" w:rsidRDefault="00115FBF" w:rsidP="00DA4FE7">
            <w:pPr>
              <w:pStyle w:val="BodyText"/>
              <w:rPr>
                <w:sz w:val="18"/>
                <w:szCs w:val="18"/>
              </w:rPr>
            </w:pPr>
            <w:r w:rsidRPr="00832DE0">
              <w:rPr>
                <w:rFonts w:eastAsiaTheme="majorEastAsia"/>
                <w:sz w:val="18"/>
                <w:szCs w:val="18"/>
              </w:rPr>
              <w:t>ONS projections</w:t>
            </w:r>
          </w:p>
        </w:tc>
        <w:tc>
          <w:tcPr>
            <w:tcW w:w="3038" w:type="dxa"/>
          </w:tcPr>
          <w:p w14:paraId="755391C9" w14:textId="66E241D9" w:rsidR="00126CB5" w:rsidRDefault="00A70B2B" w:rsidP="00126CB5">
            <w:pPr>
              <w:pStyle w:val="ListNumber"/>
              <w:numPr>
                <w:ilvl w:val="0"/>
                <w:numId w:val="0"/>
              </w:numPr>
            </w:pPr>
            <w:r>
              <w:t>Weymouth has</w:t>
            </w:r>
            <w:r w:rsidR="00126CB5">
              <w:t xml:space="preserve"> </w:t>
            </w:r>
            <w:r>
              <w:t xml:space="preserve">an </w:t>
            </w:r>
            <w:r w:rsidR="00126CB5">
              <w:t xml:space="preserve">above national average income </w:t>
            </w:r>
            <w:r>
              <w:t xml:space="preserve">of </w:t>
            </w:r>
            <w:r w:rsidR="00126CB5" w:rsidRPr="007D3A35">
              <w:t>£39</w:t>
            </w:r>
            <w:r>
              <w:t>,</w:t>
            </w:r>
            <w:r w:rsidR="00126CB5" w:rsidRPr="007D3A35">
              <w:t>929</w:t>
            </w:r>
            <w:r w:rsidR="00126CB5">
              <w:t xml:space="preserve"> and</w:t>
            </w:r>
            <w:r w:rsidR="00126CB5" w:rsidRPr="007D3A35">
              <w:t xml:space="preserve"> average lower quartile incomes of £14,745 in households with one LQ income and £29,490 in households with two LQ incomes</w:t>
            </w:r>
            <w:r w:rsidR="00126CB5">
              <w:t>.</w:t>
            </w:r>
            <w:r w:rsidR="00126CB5" w:rsidRPr="007D3A35">
              <w:t xml:space="preserve"> </w:t>
            </w:r>
          </w:p>
          <w:p w14:paraId="5FA06A64" w14:textId="77777777" w:rsidR="00A70B2B" w:rsidRDefault="00126CB5" w:rsidP="00126CB5">
            <w:pPr>
              <w:pStyle w:val="ListNumber"/>
              <w:numPr>
                <w:ilvl w:val="0"/>
                <w:numId w:val="0"/>
              </w:numPr>
            </w:pPr>
            <w:r>
              <w:t>A</w:t>
            </w:r>
            <w:r w:rsidRPr="007D3A35">
              <w:t xml:space="preserve">verage house sale prices </w:t>
            </w:r>
            <w:r>
              <w:t xml:space="preserve">are </w:t>
            </w:r>
            <w:r w:rsidRPr="007D3A35">
              <w:t>unaffordable on average incomes</w:t>
            </w:r>
            <w:r>
              <w:t>, but private renting is affordable. A</w:t>
            </w:r>
            <w:r w:rsidRPr="007D3A35">
              <w:t>verage resale home</w:t>
            </w:r>
            <w:r>
              <w:t>s</w:t>
            </w:r>
            <w:r w:rsidRPr="007D3A35">
              <w:t xml:space="preserve"> requir</w:t>
            </w:r>
            <w:r>
              <w:t>e</w:t>
            </w:r>
            <w:r w:rsidRPr="007D3A35">
              <w:t xml:space="preserve"> on income of over £60,000 and a new build</w:t>
            </w:r>
            <w:r>
              <w:t xml:space="preserve"> home</w:t>
            </w:r>
            <w:r w:rsidRPr="007D3A35">
              <w:t xml:space="preserve"> requir</w:t>
            </w:r>
            <w:r>
              <w:t>es</w:t>
            </w:r>
            <w:r w:rsidRPr="007D3A35">
              <w:t xml:space="preserve"> on average an income of over £100,000.</w:t>
            </w:r>
            <w:r>
              <w:t xml:space="preserve"> </w:t>
            </w:r>
          </w:p>
          <w:p w14:paraId="220CC7E1" w14:textId="1ABCFF72" w:rsidR="00126CB5" w:rsidRDefault="00126CB5" w:rsidP="00126CB5">
            <w:pPr>
              <w:pStyle w:val="ListNumber"/>
              <w:numPr>
                <w:ilvl w:val="0"/>
                <w:numId w:val="0"/>
              </w:numPr>
            </w:pPr>
            <w:r>
              <w:t>Households on two lower quartile incomes cannot afford any tenures except social and affordable rent. Single lower quartile income households cannot even afford a social rented property without recourse to benefits.</w:t>
            </w:r>
          </w:p>
          <w:p w14:paraId="497C3130" w14:textId="5FB290A9" w:rsidR="00DA4FE7" w:rsidRPr="00DA4FE7" w:rsidRDefault="00DA4FE7" w:rsidP="00832DE0">
            <w:pPr>
              <w:pStyle w:val="ListNumber"/>
              <w:numPr>
                <w:ilvl w:val="0"/>
                <w:numId w:val="0"/>
              </w:numPr>
            </w:pPr>
          </w:p>
        </w:tc>
        <w:tc>
          <w:tcPr>
            <w:tcW w:w="3039" w:type="dxa"/>
          </w:tcPr>
          <w:p w14:paraId="27B75B3D" w14:textId="64FEF2C3" w:rsidR="00126CB5" w:rsidRDefault="00126CB5" w:rsidP="00126CB5">
            <w:pPr>
              <w:pStyle w:val="ListNumber"/>
              <w:numPr>
                <w:ilvl w:val="0"/>
                <w:numId w:val="0"/>
              </w:numPr>
            </w:pPr>
            <w:r w:rsidRPr="003A717B">
              <w:t xml:space="preserve">The overall </w:t>
            </w:r>
            <w:r>
              <w:t xml:space="preserve">minimum </w:t>
            </w:r>
            <w:r w:rsidRPr="003A717B">
              <w:t>affordable housing need likely to arise over the plan period</w:t>
            </w:r>
            <w:r w:rsidR="008A604F">
              <w:t>,</w:t>
            </w:r>
            <w:r w:rsidRPr="003A717B">
              <w:t xml:space="preserve"> in line with </w:t>
            </w:r>
            <w:r>
              <w:t>the most recent SHMA</w:t>
            </w:r>
            <w:r w:rsidR="008A604F">
              <w:t>,</w:t>
            </w:r>
            <w:r w:rsidRPr="003A717B">
              <w:t xml:space="preserve"> is </w:t>
            </w:r>
            <w:r>
              <w:t>1,775 units</w:t>
            </w:r>
            <w:r w:rsidRPr="003A717B">
              <w:t xml:space="preserve"> (</w:t>
            </w:r>
            <w:r>
              <w:t>1,260</w:t>
            </w:r>
            <w:r w:rsidRPr="003A717B">
              <w:t xml:space="preserve"> affordable homes needed for rent + </w:t>
            </w:r>
            <w:r>
              <w:t>515</w:t>
            </w:r>
            <w:r w:rsidRPr="003A717B">
              <w:t xml:space="preserve"> affordable homes needed for sale). </w:t>
            </w:r>
            <w:r>
              <w:t>AECOM calculations show that</w:t>
            </w:r>
            <w:r w:rsidR="00994671">
              <w:t xml:space="preserve"> </w:t>
            </w:r>
            <w:r>
              <w:t>potential demand for affordable housing for sale could</w:t>
            </w:r>
            <w:r w:rsidR="008A604F">
              <w:t xml:space="preserve"> however</w:t>
            </w:r>
            <w:r>
              <w:t xml:space="preserve"> be much higher, up to 2,649 units over the </w:t>
            </w:r>
            <w:r w:rsidR="00994671">
              <w:t>p</w:t>
            </w:r>
            <w:r>
              <w:t xml:space="preserve">lan period. </w:t>
            </w:r>
          </w:p>
          <w:p w14:paraId="1A10ECC8" w14:textId="7205FB42" w:rsidR="00DA4FE7" w:rsidRDefault="00126CB5" w:rsidP="00126CB5">
            <w:pPr>
              <w:pStyle w:val="ListNumber"/>
              <w:numPr>
                <w:ilvl w:val="0"/>
                <w:numId w:val="0"/>
              </w:numPr>
            </w:pPr>
            <w:r>
              <w:t>Weymouth’s overall housing requirement</w:t>
            </w:r>
            <w:r w:rsidR="005D4C50">
              <w:t xml:space="preserve"> (HRF) of 3,225 </w:t>
            </w:r>
            <w:r>
              <w:t xml:space="preserve">is unlikely to </w:t>
            </w:r>
            <w:r w:rsidRPr="003A717B">
              <w:t xml:space="preserve">allow affordable housing needs to be met in full. To meet identified needs, </w:t>
            </w:r>
            <w:r>
              <w:t>the</w:t>
            </w:r>
            <w:r w:rsidR="005D4C50">
              <w:t xml:space="preserve"> full</w:t>
            </w:r>
            <w:r>
              <w:t xml:space="preserve"> HRF </w:t>
            </w:r>
            <w:r w:rsidR="005D4C50">
              <w:t xml:space="preserve">would have to </w:t>
            </w:r>
            <w:r w:rsidR="008A604F">
              <w:t>delivered</w:t>
            </w:r>
            <w:r w:rsidRPr="003A717B">
              <w:t xml:space="preserve"> a</w:t>
            </w:r>
            <w:r w:rsidR="008A604F">
              <w:t>nd</w:t>
            </w:r>
            <w:r w:rsidRPr="003A717B">
              <w:t xml:space="preserve"> </w:t>
            </w:r>
            <w:r>
              <w:t>55</w:t>
            </w:r>
            <w:r w:rsidRPr="003A717B">
              <w:t xml:space="preserve">% of all homes would need to be affordable, with </w:t>
            </w:r>
            <w:r>
              <w:t>71</w:t>
            </w:r>
            <w:r w:rsidRPr="003A717B">
              <w:t xml:space="preserve">% of these for </w:t>
            </w:r>
            <w:r>
              <w:t>rent</w:t>
            </w:r>
            <w:r w:rsidRPr="003A717B">
              <w:t xml:space="preserve"> and </w:t>
            </w:r>
            <w:r>
              <w:t>29</w:t>
            </w:r>
            <w:r w:rsidRPr="003A717B">
              <w:t xml:space="preserve">% as affordable housing for </w:t>
            </w:r>
            <w:r w:rsidR="005D4C50">
              <w:t>sale</w:t>
            </w:r>
            <w:r w:rsidRPr="003A717B">
              <w:t>.</w:t>
            </w:r>
          </w:p>
          <w:p w14:paraId="3C77D308" w14:textId="47E48327" w:rsidR="00126CB5" w:rsidRPr="00DA4FE7" w:rsidRDefault="005D4C50" w:rsidP="00832DE0">
            <w:pPr>
              <w:pStyle w:val="ListNumber"/>
              <w:numPr>
                <w:ilvl w:val="0"/>
                <w:numId w:val="0"/>
              </w:numPr>
            </w:pPr>
            <w:r>
              <w:t>M</w:t>
            </w:r>
            <w:r w:rsidR="00126CB5" w:rsidRPr="00861EC1">
              <w:t>aximum Affordable Housing</w:t>
            </w:r>
            <w:r w:rsidR="00126CB5">
              <w:t xml:space="preserve"> delivery</w:t>
            </w:r>
            <w:r w:rsidR="00126CB5" w:rsidRPr="00861EC1">
              <w:t xml:space="preserve"> over the plan period through </w:t>
            </w:r>
            <w:r w:rsidR="00126CB5">
              <w:t>planning obligations</w:t>
            </w:r>
            <w:r w:rsidR="00126CB5" w:rsidRPr="00861EC1">
              <w:t xml:space="preserve"> </w:t>
            </w:r>
            <w:r w:rsidR="008A604F">
              <w:t>is likely to</w:t>
            </w:r>
            <w:r w:rsidR="00126CB5" w:rsidRPr="00861EC1">
              <w:t xml:space="preserve"> be </w:t>
            </w:r>
            <w:r w:rsidR="00126CB5">
              <w:t>1,129</w:t>
            </w:r>
            <w:r w:rsidR="00126CB5" w:rsidRPr="00861EC1">
              <w:t xml:space="preserve"> units</w:t>
            </w:r>
            <w:r w:rsidR="00126CB5">
              <w:t xml:space="preserve"> (35% of the total housing requirement of 3,225 in line with the adopted Local Plan</w:t>
            </w:r>
            <w:r w:rsidR="00271956">
              <w:t xml:space="preserve"> and in line with emerging Plan requirements for Zone 2 which applies</w:t>
            </w:r>
            <w:r w:rsidR="001F5561">
              <w:t xml:space="preserve"> across</w:t>
            </w:r>
            <w:r w:rsidR="00271956">
              <w:t xml:space="preserve"> the NA except for Weymouth town centre</w:t>
            </w:r>
            <w:r w:rsidR="00126CB5">
              <w:t>)</w:t>
            </w:r>
            <w:r w:rsidR="00271956">
              <w:t>. If housing is primarily delivered in Weymouth town centre, affordable housing delivery will be lower</w:t>
            </w:r>
            <w:r w:rsidR="001F5561">
              <w:t>,</w:t>
            </w:r>
            <w:r w:rsidR="00271956">
              <w:t xml:space="preserve"> around</w:t>
            </w:r>
            <w:r w:rsidR="00126CB5">
              <w:t xml:space="preserve"> 806 units (25% of 3,225 in line with the emerging new Local Plan</w:t>
            </w:r>
            <w:r w:rsidR="00271956">
              <w:t xml:space="preserve"> requirement for Zone 3</w:t>
            </w:r>
            <w:r w:rsidR="00126CB5">
              <w:t>)</w:t>
            </w:r>
            <w:r w:rsidR="00126CB5" w:rsidRPr="00861EC1">
              <w:t xml:space="preserve">. </w:t>
            </w:r>
          </w:p>
        </w:tc>
      </w:tr>
      <w:tr w:rsidR="002C2D5C" w:rsidRPr="00C63C56" w14:paraId="7F397DDF" w14:textId="77777777" w:rsidTr="00263FED">
        <w:trPr>
          <w:cantSplit/>
          <w:trHeight w:val="501"/>
        </w:trPr>
        <w:tc>
          <w:tcPr>
            <w:tcW w:w="1984" w:type="dxa"/>
            <w:vAlign w:val="center"/>
          </w:tcPr>
          <w:p w14:paraId="58C2FEF2" w14:textId="7652A39F" w:rsidR="002C2D5C" w:rsidRPr="00DA4FE7" w:rsidRDefault="00965CE9" w:rsidP="00C378B2">
            <w:pPr>
              <w:pStyle w:val="BodyText"/>
              <w:jc w:val="both"/>
              <w:rPr>
                <w:sz w:val="18"/>
                <w:szCs w:val="18"/>
              </w:rPr>
            </w:pPr>
            <w:r w:rsidRPr="00DA4FE7">
              <w:rPr>
                <w:sz w:val="18"/>
                <w:szCs w:val="18"/>
              </w:rPr>
              <w:t>Housing tenure and affordability</w:t>
            </w:r>
          </w:p>
        </w:tc>
        <w:tc>
          <w:tcPr>
            <w:tcW w:w="1418" w:type="dxa"/>
          </w:tcPr>
          <w:p w14:paraId="77125F9E" w14:textId="77777777" w:rsidR="00F47EDB" w:rsidRDefault="00F47EDB" w:rsidP="00F47EDB">
            <w:pPr>
              <w:pStyle w:val="BodyText"/>
              <w:rPr>
                <w:sz w:val="18"/>
                <w:szCs w:val="18"/>
              </w:rPr>
            </w:pPr>
            <w:r>
              <w:rPr>
                <w:sz w:val="18"/>
                <w:szCs w:val="18"/>
              </w:rPr>
              <w:t>SHMA</w:t>
            </w:r>
          </w:p>
          <w:p w14:paraId="16EB15A1" w14:textId="77777777" w:rsidR="00F47EDB" w:rsidRDefault="00F47EDB" w:rsidP="00F47EDB">
            <w:pPr>
              <w:pStyle w:val="BodyText"/>
              <w:rPr>
                <w:sz w:val="18"/>
                <w:szCs w:val="18"/>
              </w:rPr>
            </w:pPr>
            <w:r>
              <w:rPr>
                <w:sz w:val="18"/>
                <w:szCs w:val="18"/>
              </w:rPr>
              <w:t>Census</w:t>
            </w:r>
          </w:p>
          <w:p w14:paraId="53A98440" w14:textId="77777777" w:rsidR="00F47EDB" w:rsidRDefault="00F47EDB" w:rsidP="00F47EDB">
            <w:pPr>
              <w:pStyle w:val="BodyText"/>
              <w:rPr>
                <w:sz w:val="18"/>
                <w:szCs w:val="18"/>
              </w:rPr>
            </w:pPr>
            <w:r>
              <w:rPr>
                <w:sz w:val="18"/>
                <w:szCs w:val="18"/>
              </w:rPr>
              <w:t>Land registry data</w:t>
            </w:r>
          </w:p>
          <w:p w14:paraId="29435F06" w14:textId="63EA18B7" w:rsidR="00F47EDB" w:rsidRDefault="00F47EDB" w:rsidP="00F47EDB">
            <w:pPr>
              <w:pStyle w:val="BodyText"/>
              <w:rPr>
                <w:sz w:val="18"/>
                <w:szCs w:val="18"/>
              </w:rPr>
            </w:pPr>
            <w:r>
              <w:rPr>
                <w:sz w:val="18"/>
                <w:szCs w:val="18"/>
              </w:rPr>
              <w:t>ONS projections</w:t>
            </w:r>
          </w:p>
          <w:p w14:paraId="7C23FFCD" w14:textId="66863E59" w:rsidR="005D4C50" w:rsidRDefault="005D4C50" w:rsidP="00F47EDB">
            <w:pPr>
              <w:pStyle w:val="BodyText"/>
              <w:rPr>
                <w:sz w:val="18"/>
                <w:szCs w:val="18"/>
              </w:rPr>
            </w:pPr>
            <w:r>
              <w:rPr>
                <w:sz w:val="18"/>
                <w:szCs w:val="18"/>
              </w:rPr>
              <w:t>Annual Monitoring Reports</w:t>
            </w:r>
          </w:p>
          <w:p w14:paraId="4BBB7835" w14:textId="50E530E0" w:rsidR="002C2D5C" w:rsidRPr="00DA4FE7" w:rsidRDefault="00F47EDB" w:rsidP="00F47EDB">
            <w:pPr>
              <w:pStyle w:val="BodyText"/>
              <w:rPr>
                <w:sz w:val="18"/>
                <w:szCs w:val="18"/>
              </w:rPr>
            </w:pPr>
            <w:r w:rsidRPr="00D55393">
              <w:rPr>
                <w:sz w:val="18"/>
                <w:szCs w:val="18"/>
              </w:rPr>
              <w:t xml:space="preserve">Property asking prices on </w:t>
            </w:r>
            <w:hyperlink r:id="rId25" w:history="1">
              <w:r w:rsidR="00115FBF" w:rsidRPr="00BE1314">
                <w:rPr>
                  <w:rStyle w:val="Hyperlink"/>
                  <w:sz w:val="18"/>
                  <w:szCs w:val="18"/>
                </w:rPr>
                <w:t>home.co.uk</w:t>
              </w:r>
            </w:hyperlink>
          </w:p>
        </w:tc>
        <w:tc>
          <w:tcPr>
            <w:tcW w:w="3038" w:type="dxa"/>
          </w:tcPr>
          <w:p w14:paraId="21238A72" w14:textId="77777777" w:rsidR="00A70B2B" w:rsidRDefault="00A70B2B" w:rsidP="002D4CB6">
            <w:pPr>
              <w:pStyle w:val="ListNumber"/>
              <w:numPr>
                <w:ilvl w:val="0"/>
                <w:numId w:val="0"/>
              </w:numPr>
            </w:pPr>
            <w:r>
              <w:t xml:space="preserve">The Weymouth tenure and affordability profile is similar to the Dorset picture. </w:t>
            </w:r>
          </w:p>
          <w:p w14:paraId="796AEF7D" w14:textId="0743D7F4" w:rsidR="002C2D5C" w:rsidRDefault="00126CB5" w:rsidP="002D4CB6">
            <w:pPr>
              <w:pStyle w:val="ListNumber"/>
              <w:numPr>
                <w:ilvl w:val="0"/>
                <w:numId w:val="0"/>
              </w:numPr>
            </w:pPr>
            <w:r>
              <w:t xml:space="preserve">Weymouth has slightly higher than national average levels of owner occupation (67%), similar percentages of private renting (18%) and slightly lower levels of social renting at 14%. Shared ownership makes up the smallest percentage of households, at 0.6%. </w:t>
            </w:r>
          </w:p>
          <w:p w14:paraId="20A99186" w14:textId="77777777" w:rsidR="00B81BE6" w:rsidRPr="00227631" w:rsidRDefault="00B81BE6" w:rsidP="00B81BE6">
            <w:pPr>
              <w:pStyle w:val="ListNumber"/>
              <w:numPr>
                <w:ilvl w:val="0"/>
                <w:numId w:val="0"/>
              </w:numPr>
            </w:pPr>
            <w:r>
              <w:t xml:space="preserve">The SHMA findings generally concur with our HNA, also showing a significant growth of the PRS, with </w:t>
            </w:r>
            <w:r w:rsidRPr="00227631">
              <w:t xml:space="preserve">over </w:t>
            </w:r>
            <w:r>
              <w:t xml:space="preserve">half of PRS households </w:t>
            </w:r>
            <w:r w:rsidRPr="00227631">
              <w:t>supported by Housing Benefit or Local Housing Allowance, compared to 25% nationally</w:t>
            </w:r>
            <w:r>
              <w:t xml:space="preserve">. </w:t>
            </w:r>
          </w:p>
          <w:p w14:paraId="61103B1D" w14:textId="24883C6C" w:rsidR="005D4C50" w:rsidRDefault="005D4C50" w:rsidP="002D4CB6">
            <w:pPr>
              <w:pStyle w:val="ListNumber"/>
              <w:numPr>
                <w:ilvl w:val="0"/>
                <w:numId w:val="0"/>
              </w:numPr>
            </w:pPr>
            <w:r>
              <w:t>Adopted Local Plan policy affordable housing requirement is 35%</w:t>
            </w:r>
            <w:r w:rsidR="00271956">
              <w:t>, which is the same in the emerging plan for the NA except for Weymouth town centre, where only</w:t>
            </w:r>
            <w:r>
              <w:t>25%</w:t>
            </w:r>
            <w:r w:rsidR="00271956">
              <w:t xml:space="preserve"> is required</w:t>
            </w:r>
            <w:r>
              <w:t xml:space="preserve">. The AMR shows an affordable housing delivery record of 13% in 2018-19 and 2017-18 and 24% in 2016-17 via planning obligations and </w:t>
            </w:r>
            <w:r w:rsidR="00A70B2B">
              <w:t xml:space="preserve">zero </w:t>
            </w:r>
            <w:r>
              <w:t>affordable housing deliver</w:t>
            </w:r>
            <w:r w:rsidR="00A70B2B">
              <w:t>ed</w:t>
            </w:r>
            <w:r>
              <w:t xml:space="preserve"> on exception sites since 2012</w:t>
            </w:r>
            <w:r w:rsidR="00A70B2B">
              <w:t>.</w:t>
            </w:r>
          </w:p>
          <w:p w14:paraId="05968CF3" w14:textId="567033BF" w:rsidR="00271956" w:rsidRDefault="00271956" w:rsidP="002D4CB6">
            <w:pPr>
              <w:pStyle w:val="ListNumber"/>
              <w:numPr>
                <w:ilvl w:val="0"/>
                <w:numId w:val="0"/>
              </w:numPr>
            </w:pPr>
            <w:r>
              <w:t>Therefore 35% affordable housing delivery through planning obligations is likely to represent an optimistic maximum.</w:t>
            </w:r>
          </w:p>
          <w:p w14:paraId="71FF717A" w14:textId="321CD84A" w:rsidR="00126CB5" w:rsidRPr="008A604F" w:rsidRDefault="00126CB5" w:rsidP="00832DE0">
            <w:pPr>
              <w:pStyle w:val="ListNumber"/>
              <w:numPr>
                <w:ilvl w:val="0"/>
                <w:numId w:val="0"/>
              </w:numPr>
            </w:pPr>
          </w:p>
        </w:tc>
        <w:tc>
          <w:tcPr>
            <w:tcW w:w="3039" w:type="dxa"/>
          </w:tcPr>
          <w:p w14:paraId="063CEAE1" w14:textId="603C1199" w:rsidR="00126CB5" w:rsidRDefault="00126CB5" w:rsidP="00126CB5">
            <w:pPr>
              <w:pStyle w:val="ListNumber"/>
              <w:numPr>
                <w:ilvl w:val="0"/>
                <w:numId w:val="0"/>
              </w:numPr>
            </w:pPr>
            <w:r>
              <w:t xml:space="preserve">The only affordable </w:t>
            </w:r>
            <w:r w:rsidR="008A604F">
              <w:t>routes</w:t>
            </w:r>
            <w:r>
              <w:t xml:space="preserve"> to home ownership on an average income</w:t>
            </w:r>
            <w:r w:rsidR="008A604F">
              <w:t xml:space="preserve"> in Weymouth</w:t>
            </w:r>
            <w:r>
              <w:t xml:space="preserve"> are either through shared ownership at 25% or through a discount market sale scheme offering a minimum discount of 34%. First Homes at 30% discount would be unaffordable on average incomes.</w:t>
            </w:r>
          </w:p>
          <w:p w14:paraId="7A5C64B0" w14:textId="0831510C" w:rsidR="002C2D5C" w:rsidRDefault="005D4C50" w:rsidP="00994671">
            <w:pPr>
              <w:pStyle w:val="ListNumber"/>
              <w:numPr>
                <w:ilvl w:val="0"/>
                <w:numId w:val="0"/>
              </w:numPr>
            </w:pPr>
            <w:r>
              <w:t xml:space="preserve">An </w:t>
            </w:r>
            <w:r w:rsidR="00994671" w:rsidRPr="001923DD">
              <w:t>indicative mix based on local needs</w:t>
            </w:r>
            <w:r>
              <w:t xml:space="preserve"> (Mix 1</w:t>
            </w:r>
            <w:r w:rsidR="00994671" w:rsidRPr="001923DD">
              <w:t xml:space="preserve">) proposes that 90% of affordable homes be provided as rented and 10% </w:t>
            </w:r>
            <w:r w:rsidR="008A604F">
              <w:t>for sale</w:t>
            </w:r>
            <w:r>
              <w:t xml:space="preserve"> (</w:t>
            </w:r>
            <w:r w:rsidR="00994671">
              <w:t>in conformity</w:t>
            </w:r>
            <w:r w:rsidR="00994671" w:rsidRPr="003A717B">
              <w:t xml:space="preserve"> with</w:t>
            </w:r>
            <w:r w:rsidR="008A604F">
              <w:t xml:space="preserve"> </w:t>
            </w:r>
            <w:r w:rsidR="00994671">
              <w:t xml:space="preserve">adopted and emerging </w:t>
            </w:r>
            <w:r w:rsidR="00994671" w:rsidRPr="003A717B">
              <w:t>Local Plan</w:t>
            </w:r>
            <w:r w:rsidR="008A604F">
              <w:t>s</w:t>
            </w:r>
            <w:r>
              <w:t>)</w:t>
            </w:r>
            <w:r w:rsidR="00994671" w:rsidRPr="003A717B">
              <w:t>.</w:t>
            </w:r>
            <w:r w:rsidR="00994671" w:rsidRPr="001923DD">
              <w:t xml:space="preserve"> </w:t>
            </w:r>
            <w:r>
              <w:t xml:space="preserve">An </w:t>
            </w:r>
            <w:r w:rsidR="00994671" w:rsidRPr="001923DD">
              <w:t>indicative mix with 25% First Homes requirement</w:t>
            </w:r>
            <w:r>
              <w:t xml:space="preserve"> (Mix 2</w:t>
            </w:r>
            <w:r w:rsidR="00994671" w:rsidRPr="001923DD">
              <w:t>) proposes 70% of affordable homes be provided as rented</w:t>
            </w:r>
            <w:r>
              <w:t xml:space="preserve"> and </w:t>
            </w:r>
            <w:r w:rsidR="00994671" w:rsidRPr="001923DD">
              <w:t xml:space="preserve">30% for sale, with the majority of this </w:t>
            </w:r>
            <w:r w:rsidR="00994671">
              <w:t xml:space="preserve">(25%) </w:t>
            </w:r>
            <w:r w:rsidR="00994671" w:rsidRPr="001923DD">
              <w:t>as First Homes</w:t>
            </w:r>
            <w:r w:rsidR="008A604F">
              <w:t xml:space="preserve">, </w:t>
            </w:r>
            <w:r w:rsidR="00994671" w:rsidRPr="001923DD">
              <w:t>align</w:t>
            </w:r>
            <w:r>
              <w:t>ed</w:t>
            </w:r>
            <w:r w:rsidR="00994671" w:rsidRPr="001923DD">
              <w:t xml:space="preserve"> with</w:t>
            </w:r>
            <w:r>
              <w:t xml:space="preserve"> </w:t>
            </w:r>
            <w:r w:rsidR="00994671" w:rsidRPr="001923DD">
              <w:t>proposed national policy.</w:t>
            </w:r>
            <w:r w:rsidR="00994671">
              <w:t xml:space="preserve"> </w:t>
            </w:r>
            <w:r w:rsidR="008A604F">
              <w:t xml:space="preserve">Both </w:t>
            </w:r>
            <w:r w:rsidR="00A70B2B">
              <w:t>align broadly with SHMA recommendations (71% affordable rented and 29% for sale).</w:t>
            </w:r>
          </w:p>
          <w:p w14:paraId="6FB1488F" w14:textId="430BA8BB" w:rsidR="00A70B2B" w:rsidRPr="00DA4FE7" w:rsidRDefault="00A70B2B" w:rsidP="00832DE0">
            <w:pPr>
              <w:pStyle w:val="ListNumber"/>
              <w:numPr>
                <w:ilvl w:val="0"/>
                <w:numId w:val="0"/>
              </w:numPr>
            </w:pPr>
            <w:r w:rsidRPr="002A7348">
              <w:t>Expected delivery</w:t>
            </w:r>
            <w:r w:rsidR="00271956">
              <w:t xml:space="preserve"> through planning obligations</w:t>
            </w:r>
            <w:r w:rsidRPr="002A7348">
              <w:t xml:space="preserve"> under either mix is likely to </w:t>
            </w:r>
            <w:r w:rsidR="008A604F">
              <w:t>be in</w:t>
            </w:r>
            <w:r w:rsidRPr="002A7348">
              <w:t xml:space="preserve">adequate to meet all of the estimated </w:t>
            </w:r>
            <w:r w:rsidR="008A604F">
              <w:t xml:space="preserve">affordable housing </w:t>
            </w:r>
            <w:r w:rsidRPr="002A7348">
              <w:t>needs for the NA</w:t>
            </w:r>
            <w:r>
              <w:t xml:space="preserve">. </w:t>
            </w:r>
            <w:r w:rsidRPr="002A7348">
              <w:t>AECOM recommend that the policy requirement be met wherever possible and that the group may wish to explore further avenues for delivering greater quantities of Affordable Housing</w:t>
            </w:r>
            <w:r>
              <w:t>, such as exception sites.</w:t>
            </w:r>
          </w:p>
        </w:tc>
      </w:tr>
      <w:tr w:rsidR="00F47EDB" w:rsidRPr="00C63C56" w14:paraId="4DF8D4BC" w14:textId="77777777" w:rsidTr="00263FED">
        <w:trPr>
          <w:cantSplit/>
        </w:trPr>
        <w:tc>
          <w:tcPr>
            <w:tcW w:w="1984" w:type="dxa"/>
            <w:vAlign w:val="center"/>
          </w:tcPr>
          <w:p w14:paraId="5B9ED1D1" w14:textId="2DDA9543" w:rsidR="00F47EDB" w:rsidRPr="00DA4FE7" w:rsidRDefault="00F47EDB" w:rsidP="00F47EDB">
            <w:pPr>
              <w:pStyle w:val="BodyText"/>
              <w:jc w:val="both"/>
              <w:rPr>
                <w:sz w:val="18"/>
                <w:szCs w:val="18"/>
              </w:rPr>
            </w:pPr>
            <w:r w:rsidRPr="00DA4FE7">
              <w:rPr>
                <w:sz w:val="18"/>
                <w:szCs w:val="18"/>
              </w:rPr>
              <w:t>Housing type and size</w:t>
            </w:r>
          </w:p>
        </w:tc>
        <w:tc>
          <w:tcPr>
            <w:tcW w:w="1418" w:type="dxa"/>
          </w:tcPr>
          <w:p w14:paraId="0F16642D" w14:textId="77777777" w:rsidR="00F47EDB" w:rsidRDefault="00F47EDB" w:rsidP="00F47EDB">
            <w:pPr>
              <w:pStyle w:val="BodyText"/>
              <w:rPr>
                <w:sz w:val="18"/>
                <w:szCs w:val="18"/>
              </w:rPr>
            </w:pPr>
            <w:r>
              <w:rPr>
                <w:sz w:val="18"/>
                <w:szCs w:val="18"/>
              </w:rPr>
              <w:t>SHMA</w:t>
            </w:r>
          </w:p>
          <w:p w14:paraId="690DB902" w14:textId="77777777" w:rsidR="00F47EDB" w:rsidRDefault="00F47EDB" w:rsidP="00F47EDB">
            <w:pPr>
              <w:pStyle w:val="BodyText"/>
              <w:rPr>
                <w:sz w:val="18"/>
                <w:szCs w:val="18"/>
              </w:rPr>
            </w:pPr>
            <w:r>
              <w:rPr>
                <w:sz w:val="18"/>
                <w:szCs w:val="18"/>
              </w:rPr>
              <w:t>Census</w:t>
            </w:r>
          </w:p>
          <w:p w14:paraId="4E7F7770" w14:textId="77777777" w:rsidR="00F47EDB" w:rsidRDefault="00F47EDB" w:rsidP="00F47EDB">
            <w:pPr>
              <w:pStyle w:val="BodyText"/>
              <w:rPr>
                <w:sz w:val="18"/>
                <w:szCs w:val="18"/>
              </w:rPr>
            </w:pPr>
            <w:r>
              <w:rPr>
                <w:sz w:val="18"/>
                <w:szCs w:val="18"/>
              </w:rPr>
              <w:t>Land registry data</w:t>
            </w:r>
          </w:p>
          <w:p w14:paraId="0B15EB3E" w14:textId="77777777" w:rsidR="00F47EDB" w:rsidRDefault="00F47EDB" w:rsidP="00F47EDB">
            <w:pPr>
              <w:pStyle w:val="BodyText"/>
              <w:rPr>
                <w:sz w:val="18"/>
                <w:szCs w:val="18"/>
              </w:rPr>
            </w:pPr>
            <w:r>
              <w:rPr>
                <w:sz w:val="18"/>
                <w:szCs w:val="18"/>
              </w:rPr>
              <w:t>ONS projections</w:t>
            </w:r>
          </w:p>
          <w:p w14:paraId="1796A211" w14:textId="77777777" w:rsidR="00E6108D" w:rsidRDefault="00F47EDB" w:rsidP="00F47EDB">
            <w:pPr>
              <w:pStyle w:val="BodyText"/>
              <w:rPr>
                <w:rStyle w:val="Hyperlink"/>
                <w:sz w:val="18"/>
                <w:szCs w:val="18"/>
              </w:rPr>
            </w:pPr>
            <w:r w:rsidRPr="00D55393">
              <w:rPr>
                <w:sz w:val="18"/>
                <w:szCs w:val="18"/>
              </w:rPr>
              <w:t>Property asking prices on home.co.uk</w:t>
            </w:r>
            <w:r w:rsidRPr="00D55393">
              <w:rPr>
                <w:rStyle w:val="Hyperlink"/>
                <w:sz w:val="18"/>
                <w:szCs w:val="18"/>
              </w:rPr>
              <w:t xml:space="preserve"> </w:t>
            </w:r>
          </w:p>
          <w:p w14:paraId="76E417DD" w14:textId="7FBBDF43" w:rsidR="00F47EDB" w:rsidRPr="00F47EDB" w:rsidRDefault="00E6108D" w:rsidP="00F47EDB">
            <w:pPr>
              <w:pStyle w:val="BodyText"/>
            </w:pPr>
            <w:r>
              <w:rPr>
                <w:sz w:val="18"/>
                <w:szCs w:val="18"/>
              </w:rPr>
              <w:t>Local Authority Annual Monitoring Reports (AMRs)</w:t>
            </w:r>
            <w:r w:rsidRPr="00D55393">
              <w:rPr>
                <w:rStyle w:val="Hyperlink"/>
                <w:sz w:val="18"/>
                <w:szCs w:val="18"/>
              </w:rPr>
              <w:t xml:space="preserve"> </w:t>
            </w:r>
            <w:r w:rsidR="00F47EDB">
              <w:t xml:space="preserve"> </w:t>
            </w:r>
          </w:p>
        </w:tc>
        <w:tc>
          <w:tcPr>
            <w:tcW w:w="3038" w:type="dxa"/>
          </w:tcPr>
          <w:p w14:paraId="62086073" w14:textId="526E2BB7" w:rsidR="002D4CB6" w:rsidRDefault="002D4CB6" w:rsidP="002D4CB6">
            <w:pPr>
              <w:pStyle w:val="ListNumber"/>
              <w:numPr>
                <w:ilvl w:val="0"/>
                <w:numId w:val="0"/>
              </w:numPr>
            </w:pPr>
            <w:r>
              <w:t>Based on the Census, Weymouth has fewer larger (7-9 rooms / 4+ bedroom) and detached properties and more smaller (1-3 room / 1-2 bedroom) terraced homes and flats than across Dorset</w:t>
            </w:r>
            <w:r w:rsidR="00E6108D">
              <w:t xml:space="preserve"> (</w:t>
            </w:r>
            <w:r>
              <w:t>most common size of home is 3 bedrooms</w:t>
            </w:r>
            <w:r w:rsidR="00E6108D">
              <w:t>)</w:t>
            </w:r>
            <w:r w:rsidRPr="00374C95">
              <w:t>.</w:t>
            </w:r>
            <w:r>
              <w:t xml:space="preserve"> </w:t>
            </w:r>
          </w:p>
          <w:p w14:paraId="7668F65D" w14:textId="22FAC52A" w:rsidR="002D4CB6" w:rsidRDefault="002D4CB6" w:rsidP="002D4CB6">
            <w:pPr>
              <w:pStyle w:val="ListNumber"/>
              <w:numPr>
                <w:ilvl w:val="0"/>
                <w:numId w:val="0"/>
              </w:numPr>
            </w:pPr>
            <w:r>
              <w:t xml:space="preserve">Annual Monitoring Reports show that delivery in was mainly concentrated on 2-3 bed houses, followed by 1-2 bed flats, </w:t>
            </w:r>
            <w:r w:rsidR="00E6108D">
              <w:t xml:space="preserve">typically </w:t>
            </w:r>
            <w:r>
              <w:t xml:space="preserve">with market houses </w:t>
            </w:r>
            <w:r w:rsidR="00E6108D">
              <w:t>larger (</w:t>
            </w:r>
            <w:r>
              <w:t>2-3 bed</w:t>
            </w:r>
            <w:r w:rsidR="00E6108D">
              <w:t>) and a</w:t>
            </w:r>
            <w:r>
              <w:t xml:space="preserve">ffordable housing </w:t>
            </w:r>
            <w:r w:rsidR="00E6108D">
              <w:t>smaller (</w:t>
            </w:r>
            <w:r>
              <w:t>2 be</w:t>
            </w:r>
            <w:r w:rsidR="00E6108D">
              <w:t>d)</w:t>
            </w:r>
            <w:r>
              <w:t>.</w:t>
            </w:r>
          </w:p>
          <w:p w14:paraId="71352ED5" w14:textId="5377E0B2" w:rsidR="002D4CB6" w:rsidRDefault="002D4CB6" w:rsidP="002D4CB6">
            <w:pPr>
              <w:pStyle w:val="ListNumber"/>
              <w:numPr>
                <w:ilvl w:val="0"/>
                <w:numId w:val="0"/>
              </w:numPr>
            </w:pPr>
            <w:r>
              <w:t>Weymouth has a similar age structure</w:t>
            </w:r>
            <w:r w:rsidR="00E6108D">
              <w:t xml:space="preserve"> to Dorset</w:t>
            </w:r>
            <w:r>
              <w:t>, with the proportions of children, young and working age people lower and the proportion of over 65s is higher</w:t>
            </w:r>
            <w:r w:rsidR="00C602EA">
              <w:t xml:space="preserve"> than nationally</w:t>
            </w:r>
            <w:r>
              <w:t xml:space="preserve">. 2001-2011 the proportion of young families </w:t>
            </w:r>
            <w:r w:rsidR="00C602EA">
              <w:t>declined and</w:t>
            </w:r>
            <w:r>
              <w:t xml:space="preserve"> families with older children and older persons</w:t>
            </w:r>
            <w:r w:rsidR="00C602EA">
              <w:t xml:space="preserve"> households increased</w:t>
            </w:r>
            <w:r>
              <w:t xml:space="preserve">. </w:t>
            </w:r>
          </w:p>
          <w:p w14:paraId="205299B7" w14:textId="060C8341" w:rsidR="002D4CB6" w:rsidRPr="008A604F" w:rsidRDefault="002D4CB6" w:rsidP="002D4CB6">
            <w:pPr>
              <w:pStyle w:val="ListNumber"/>
              <w:numPr>
                <w:ilvl w:val="0"/>
                <w:numId w:val="0"/>
              </w:numPr>
            </w:pPr>
            <w:r>
              <w:t>Weymouth household composition is very similar to</w:t>
            </w:r>
            <w:r w:rsidRPr="00CA73BD">
              <w:t xml:space="preserve"> </w:t>
            </w:r>
            <w:r w:rsidR="00C602EA">
              <w:t>the</w:t>
            </w:r>
            <w:r w:rsidRPr="00CA73BD">
              <w:t xml:space="preserve"> LA</w:t>
            </w:r>
            <w:r>
              <w:t xml:space="preserve"> and the rest of the country, with 33% single, 61% family</w:t>
            </w:r>
            <w:r w:rsidR="00C602EA">
              <w:t xml:space="preserve">, </w:t>
            </w:r>
            <w:r>
              <w:t xml:space="preserve">and 6% other households. The proportions of </w:t>
            </w:r>
            <w:r w:rsidR="00E6108D">
              <w:t xml:space="preserve">younger </w:t>
            </w:r>
            <w:r>
              <w:t xml:space="preserve">single households and </w:t>
            </w:r>
            <w:r w:rsidR="00E6108D">
              <w:t xml:space="preserve">older </w:t>
            </w:r>
            <w:r>
              <w:t>family households are higher in Weymouth. 2001</w:t>
            </w:r>
            <w:r w:rsidR="00C602EA">
              <w:t>-</w:t>
            </w:r>
            <w:r>
              <w:t>2011</w:t>
            </w:r>
            <w:r w:rsidRPr="00CA73BD">
              <w:t xml:space="preserve"> </w:t>
            </w:r>
            <w:r>
              <w:t>single households increased by 10%.</w:t>
            </w:r>
          </w:p>
          <w:p w14:paraId="27746A6E" w14:textId="1FC88C72" w:rsidR="00F47EDB" w:rsidRPr="00DA4FE7" w:rsidRDefault="00E6108D" w:rsidP="00832DE0">
            <w:pPr>
              <w:pStyle w:val="BodyText"/>
              <w:spacing w:after="0"/>
              <w:rPr>
                <w:sz w:val="18"/>
                <w:szCs w:val="18"/>
              </w:rPr>
            </w:pPr>
            <w:r>
              <w:rPr>
                <w:sz w:val="18"/>
                <w:szCs w:val="18"/>
              </w:rPr>
              <w:t>Y</w:t>
            </w:r>
            <w:r w:rsidR="002D4CB6" w:rsidRPr="00832DE0">
              <w:rPr>
                <w:sz w:val="18"/>
                <w:szCs w:val="18"/>
              </w:rPr>
              <w:t>ounger households occupy smaller housing</w:t>
            </w:r>
            <w:r>
              <w:rPr>
                <w:sz w:val="18"/>
                <w:szCs w:val="18"/>
              </w:rPr>
              <w:t xml:space="preserve"> (typically 2 bed); </w:t>
            </w:r>
            <w:r w:rsidR="002D4CB6" w:rsidRPr="00832DE0">
              <w:rPr>
                <w:sz w:val="18"/>
                <w:szCs w:val="18"/>
              </w:rPr>
              <w:t xml:space="preserve">3 </w:t>
            </w:r>
            <w:r w:rsidR="00C602EA">
              <w:rPr>
                <w:sz w:val="18"/>
                <w:szCs w:val="18"/>
              </w:rPr>
              <w:t xml:space="preserve">-4 </w:t>
            </w:r>
            <w:r w:rsidR="002D4CB6" w:rsidRPr="00832DE0">
              <w:rPr>
                <w:sz w:val="18"/>
                <w:szCs w:val="18"/>
              </w:rPr>
              <w:t xml:space="preserve">bed properties </w:t>
            </w:r>
            <w:r>
              <w:rPr>
                <w:sz w:val="18"/>
                <w:szCs w:val="18"/>
              </w:rPr>
              <w:t xml:space="preserve">are most popular </w:t>
            </w:r>
            <w:r w:rsidR="00C602EA">
              <w:rPr>
                <w:sz w:val="18"/>
                <w:szCs w:val="18"/>
              </w:rPr>
              <w:t>for ages</w:t>
            </w:r>
            <w:r w:rsidR="002D4CB6" w:rsidRPr="00832DE0">
              <w:rPr>
                <w:sz w:val="18"/>
                <w:szCs w:val="18"/>
              </w:rPr>
              <w:t xml:space="preserve"> 40-60 year</w:t>
            </w:r>
            <w:r w:rsidR="00C602EA">
              <w:rPr>
                <w:sz w:val="18"/>
                <w:szCs w:val="18"/>
              </w:rPr>
              <w:t>. A</w:t>
            </w:r>
            <w:r>
              <w:rPr>
                <w:sz w:val="18"/>
                <w:szCs w:val="18"/>
              </w:rPr>
              <w:t>s households age, house size declines again,</w:t>
            </w:r>
            <w:r w:rsidR="00C602EA">
              <w:rPr>
                <w:sz w:val="18"/>
                <w:szCs w:val="18"/>
              </w:rPr>
              <w:t xml:space="preserve"> with</w:t>
            </w:r>
            <w:r>
              <w:rPr>
                <w:sz w:val="18"/>
                <w:szCs w:val="18"/>
              </w:rPr>
              <w:t xml:space="preserve"> o</w:t>
            </w:r>
            <w:r w:rsidR="002D4CB6" w:rsidRPr="00832DE0">
              <w:rPr>
                <w:sz w:val="18"/>
                <w:szCs w:val="18"/>
              </w:rPr>
              <w:t>ver 85s occupy</w:t>
            </w:r>
            <w:r>
              <w:rPr>
                <w:sz w:val="18"/>
                <w:szCs w:val="18"/>
              </w:rPr>
              <w:t>ing</w:t>
            </w:r>
            <w:r w:rsidR="002D4CB6" w:rsidRPr="00832DE0">
              <w:rPr>
                <w:sz w:val="18"/>
                <w:szCs w:val="18"/>
              </w:rPr>
              <w:t xml:space="preserve"> a similar size of home as 30-35 year olds. </w:t>
            </w:r>
          </w:p>
        </w:tc>
        <w:tc>
          <w:tcPr>
            <w:tcW w:w="3039" w:type="dxa"/>
          </w:tcPr>
          <w:p w14:paraId="484F7D57" w14:textId="6CAD68A6" w:rsidR="00C602EA" w:rsidRDefault="002D4CB6" w:rsidP="00F47EDB">
            <w:pPr>
              <w:pStyle w:val="BodyText"/>
              <w:rPr>
                <w:sz w:val="18"/>
                <w:szCs w:val="18"/>
              </w:rPr>
            </w:pPr>
            <w:r w:rsidRPr="00553E60">
              <w:rPr>
                <w:sz w:val="18"/>
                <w:szCs w:val="18"/>
              </w:rPr>
              <w:t>Over the plan period, the greatest increase in housing stock in Weymouth is required in middle sized homes of three- and two-bedrooms (48 and 35% respectively) with only minor additions of 7-9% needed to the stock in the smaller and larger 1</w:t>
            </w:r>
            <w:r w:rsidR="00C602EA">
              <w:rPr>
                <w:sz w:val="18"/>
                <w:szCs w:val="18"/>
              </w:rPr>
              <w:t>-</w:t>
            </w:r>
            <w:r w:rsidRPr="00553E60">
              <w:rPr>
                <w:sz w:val="18"/>
                <w:szCs w:val="18"/>
              </w:rPr>
              <w:t>and 4</w:t>
            </w:r>
            <w:r w:rsidR="00C602EA">
              <w:rPr>
                <w:sz w:val="18"/>
                <w:szCs w:val="18"/>
              </w:rPr>
              <w:t>-</w:t>
            </w:r>
            <w:r w:rsidRPr="00553E60">
              <w:rPr>
                <w:sz w:val="18"/>
                <w:szCs w:val="18"/>
              </w:rPr>
              <w:t>bedroom size categories. The lowest increase is required in the largest, 5</w:t>
            </w:r>
            <w:r w:rsidR="00C602EA">
              <w:rPr>
                <w:sz w:val="18"/>
                <w:szCs w:val="18"/>
              </w:rPr>
              <w:t>-</w:t>
            </w:r>
            <w:r w:rsidRPr="00553E60">
              <w:rPr>
                <w:sz w:val="18"/>
                <w:szCs w:val="18"/>
              </w:rPr>
              <w:t xml:space="preserve"> or more bedroom category (0.5%). </w:t>
            </w:r>
          </w:p>
          <w:p w14:paraId="3823BC3A" w14:textId="0446CA25" w:rsidR="00F47EDB" w:rsidRPr="00DA4FE7" w:rsidRDefault="00C602EA" w:rsidP="00F47EDB">
            <w:pPr>
              <w:pStyle w:val="BodyText"/>
              <w:rPr>
                <w:sz w:val="18"/>
                <w:szCs w:val="18"/>
              </w:rPr>
            </w:pPr>
            <w:r>
              <w:rPr>
                <w:sz w:val="18"/>
                <w:szCs w:val="18"/>
              </w:rPr>
              <w:t>N</w:t>
            </w:r>
            <w:r w:rsidR="002D4CB6" w:rsidRPr="00553E60">
              <w:rPr>
                <w:sz w:val="18"/>
                <w:szCs w:val="18"/>
              </w:rPr>
              <w:t xml:space="preserve">ew dwelling stock should provide some mix of all sizes of properties, but primarily deliver 2-3 bed properties. </w:t>
            </w:r>
          </w:p>
        </w:tc>
      </w:tr>
      <w:tr w:rsidR="00F47EDB" w:rsidRPr="00C63C56" w14:paraId="52567293" w14:textId="77777777" w:rsidTr="00263FED">
        <w:trPr>
          <w:cantSplit/>
        </w:trPr>
        <w:tc>
          <w:tcPr>
            <w:tcW w:w="1984" w:type="dxa"/>
            <w:vAlign w:val="center"/>
          </w:tcPr>
          <w:p w14:paraId="5E061E11" w14:textId="69CDF72F" w:rsidR="00F47EDB" w:rsidRPr="00DA4FE7" w:rsidRDefault="00F47EDB" w:rsidP="00F47EDB">
            <w:pPr>
              <w:pStyle w:val="BodyText"/>
              <w:jc w:val="both"/>
              <w:rPr>
                <w:sz w:val="18"/>
                <w:szCs w:val="18"/>
              </w:rPr>
            </w:pPr>
            <w:r w:rsidRPr="00DA4FE7">
              <w:rPr>
                <w:sz w:val="18"/>
                <w:szCs w:val="18"/>
              </w:rPr>
              <w:t xml:space="preserve">Specialist housing for </w:t>
            </w:r>
            <w:r>
              <w:rPr>
                <w:sz w:val="18"/>
                <w:szCs w:val="18"/>
              </w:rPr>
              <w:t>older</w:t>
            </w:r>
            <w:r w:rsidRPr="00DA4FE7">
              <w:rPr>
                <w:sz w:val="18"/>
                <w:szCs w:val="18"/>
              </w:rPr>
              <w:t xml:space="preserve"> people</w:t>
            </w:r>
          </w:p>
        </w:tc>
        <w:tc>
          <w:tcPr>
            <w:tcW w:w="1418" w:type="dxa"/>
          </w:tcPr>
          <w:p w14:paraId="207B64D6" w14:textId="3FAB6581" w:rsidR="00F47EDB" w:rsidRPr="008655D4" w:rsidRDefault="008655D4" w:rsidP="00F47EDB">
            <w:pPr>
              <w:pStyle w:val="BodyText"/>
              <w:rPr>
                <w:sz w:val="18"/>
                <w:szCs w:val="18"/>
              </w:rPr>
            </w:pPr>
            <w:r w:rsidRPr="008655D4">
              <w:rPr>
                <w:sz w:val="18"/>
                <w:szCs w:val="18"/>
              </w:rPr>
              <w:t>Census 2011</w:t>
            </w:r>
          </w:p>
          <w:p w14:paraId="04B7B0ED" w14:textId="77777777" w:rsidR="008655D4" w:rsidRPr="00832DE0" w:rsidRDefault="00D72010" w:rsidP="00F47EDB">
            <w:pPr>
              <w:pStyle w:val="BodyText"/>
              <w:rPr>
                <w:rFonts w:asciiTheme="minorHAnsi" w:eastAsiaTheme="minorHAnsi" w:hAnsiTheme="minorHAnsi" w:cstheme="minorBidi"/>
                <w:color w:val="auto"/>
                <w:kern w:val="18"/>
                <w:sz w:val="18"/>
                <w:szCs w:val="18"/>
                <w:lang w:val="en-US" w:eastAsia="en-US"/>
              </w:rPr>
            </w:pPr>
            <w:hyperlink r:id="rId26" w:history="1">
              <w:r w:rsidR="008655D4" w:rsidRPr="00832DE0">
                <w:rPr>
                  <w:rStyle w:val="Hyperlink"/>
                  <w:rFonts w:asciiTheme="minorHAnsi" w:eastAsiaTheme="minorHAnsi" w:hAnsiTheme="minorHAnsi" w:cstheme="minorBidi"/>
                  <w:kern w:val="18"/>
                  <w:sz w:val="18"/>
                  <w:szCs w:val="18"/>
                  <w:lang w:val="en-US" w:eastAsia="en-US"/>
                </w:rPr>
                <w:t>http://www.housingcare.org</w:t>
              </w:r>
            </w:hyperlink>
          </w:p>
          <w:p w14:paraId="0917B79D" w14:textId="77777777" w:rsidR="008655D4" w:rsidRPr="00832DE0" w:rsidRDefault="008655D4" w:rsidP="00F47EDB">
            <w:pPr>
              <w:pStyle w:val="BodyText"/>
              <w:rPr>
                <w:rFonts w:asciiTheme="minorHAnsi" w:eastAsiaTheme="minorHAnsi" w:hAnsiTheme="minorHAnsi" w:cstheme="minorBidi"/>
                <w:color w:val="auto"/>
                <w:kern w:val="18"/>
                <w:sz w:val="18"/>
                <w:szCs w:val="18"/>
                <w:lang w:val="en-US" w:eastAsia="en-US"/>
              </w:rPr>
            </w:pPr>
            <w:r w:rsidRPr="00832DE0">
              <w:rPr>
                <w:rFonts w:asciiTheme="minorHAnsi" w:eastAsiaTheme="minorHAnsi" w:hAnsiTheme="minorHAnsi" w:cstheme="minorBidi"/>
                <w:color w:val="auto"/>
                <w:kern w:val="18"/>
                <w:sz w:val="18"/>
                <w:szCs w:val="18"/>
                <w:lang w:val="en-US" w:eastAsia="en-US"/>
              </w:rPr>
              <w:t>ONS SNPP 2018</w:t>
            </w:r>
          </w:p>
          <w:p w14:paraId="68D170D5" w14:textId="77777777" w:rsidR="008655D4" w:rsidRPr="00832DE0" w:rsidRDefault="008655D4" w:rsidP="00F47EDB">
            <w:pPr>
              <w:pStyle w:val="BodyText"/>
              <w:rPr>
                <w:sz w:val="18"/>
                <w:szCs w:val="18"/>
                <w:lang w:val="en-US"/>
              </w:rPr>
            </w:pPr>
            <w:r w:rsidRPr="00832DE0">
              <w:rPr>
                <w:sz w:val="18"/>
                <w:szCs w:val="18"/>
                <w:lang w:val="en-US"/>
              </w:rPr>
              <w:t>DC3408EW Health status</w:t>
            </w:r>
          </w:p>
          <w:p w14:paraId="2BBC4FFD" w14:textId="5B6D2284" w:rsidR="008655D4" w:rsidRPr="00DA4FE7" w:rsidRDefault="008655D4" w:rsidP="00F47EDB">
            <w:pPr>
              <w:pStyle w:val="BodyText"/>
              <w:rPr>
                <w:sz w:val="18"/>
                <w:szCs w:val="18"/>
              </w:rPr>
            </w:pPr>
            <w:r w:rsidRPr="00832DE0">
              <w:rPr>
                <w:sz w:val="18"/>
                <w:szCs w:val="18"/>
                <w:lang w:val="en-US"/>
              </w:rPr>
              <w:t>Housing Lin</w:t>
            </w:r>
          </w:p>
        </w:tc>
        <w:tc>
          <w:tcPr>
            <w:tcW w:w="3038" w:type="dxa"/>
          </w:tcPr>
          <w:p w14:paraId="7EE4227C" w14:textId="2053B507" w:rsidR="008655D4" w:rsidRDefault="004C157F" w:rsidP="00F47EDB">
            <w:pPr>
              <w:pStyle w:val="BodyText"/>
              <w:rPr>
                <w:rFonts w:asciiTheme="minorHAnsi" w:eastAsiaTheme="minorHAnsi" w:hAnsiTheme="minorHAnsi" w:cstheme="minorBidi"/>
                <w:color w:val="auto"/>
                <w:kern w:val="18"/>
                <w:sz w:val="18"/>
                <w:szCs w:val="18"/>
                <w:lang w:val="en-US" w:eastAsia="en-US"/>
              </w:rPr>
            </w:pPr>
            <w:r>
              <w:rPr>
                <w:rFonts w:asciiTheme="minorHAnsi" w:eastAsiaTheme="minorHAnsi" w:hAnsiTheme="minorHAnsi" w:cstheme="minorBidi"/>
                <w:color w:val="auto"/>
                <w:kern w:val="18"/>
                <w:sz w:val="18"/>
                <w:szCs w:val="18"/>
                <w:lang w:val="en-US" w:eastAsia="en-US"/>
              </w:rPr>
              <w:t xml:space="preserve">Data from </w:t>
            </w:r>
            <w:hyperlink r:id="rId27" w:history="1">
              <w:r w:rsidRPr="0083164C">
                <w:rPr>
                  <w:rStyle w:val="Hyperlink"/>
                  <w:rFonts w:asciiTheme="minorHAnsi" w:eastAsiaTheme="minorHAnsi" w:hAnsiTheme="minorHAnsi" w:cstheme="minorBidi"/>
                  <w:kern w:val="18"/>
                  <w:sz w:val="18"/>
                  <w:szCs w:val="18"/>
                  <w:lang w:val="en-US" w:eastAsia="en-US"/>
                </w:rPr>
                <w:t>http://www.housingcare.org</w:t>
              </w:r>
            </w:hyperlink>
            <w:r>
              <w:rPr>
                <w:rFonts w:asciiTheme="minorHAnsi" w:eastAsiaTheme="minorHAnsi" w:hAnsiTheme="minorHAnsi" w:cstheme="minorBidi"/>
                <w:color w:val="auto"/>
                <w:kern w:val="18"/>
                <w:sz w:val="18"/>
                <w:szCs w:val="18"/>
                <w:lang w:val="en-US" w:eastAsia="en-US"/>
              </w:rPr>
              <w:t xml:space="preserve"> gives a total of 1,163 specialist dwellings (or bed spaces), for a 2011 population aged 75+ of 5,505. This suggests a rate of provision of 211 per 1,000 population aged 75+.</w:t>
            </w:r>
          </w:p>
          <w:p w14:paraId="14C7E0BF" w14:textId="4C51D4EE" w:rsidR="004C157F" w:rsidRDefault="004C157F" w:rsidP="00F47EDB">
            <w:pPr>
              <w:pStyle w:val="BodyText"/>
              <w:rPr>
                <w:rFonts w:asciiTheme="minorHAnsi" w:eastAsiaTheme="minorHAnsi" w:hAnsiTheme="minorHAnsi" w:cstheme="minorBidi"/>
                <w:color w:val="auto"/>
                <w:kern w:val="18"/>
                <w:sz w:val="18"/>
                <w:szCs w:val="18"/>
                <w:lang w:val="en-US" w:eastAsia="en-US"/>
              </w:rPr>
            </w:pPr>
            <w:r>
              <w:rPr>
                <w:rFonts w:asciiTheme="minorHAnsi" w:eastAsiaTheme="minorHAnsi" w:hAnsiTheme="minorHAnsi" w:cstheme="minorBidi"/>
                <w:color w:val="auto"/>
                <w:kern w:val="18"/>
                <w:sz w:val="18"/>
                <w:szCs w:val="18"/>
                <w:lang w:val="en-US" w:eastAsia="en-US"/>
              </w:rPr>
              <w:t xml:space="preserve">Census data on the current tenure for households aged 55-75 and ONS SNPP 2018 projections of the </w:t>
            </w:r>
            <w:r w:rsidR="0008380D">
              <w:rPr>
                <w:rFonts w:asciiTheme="minorHAnsi" w:eastAsiaTheme="minorHAnsi" w:hAnsiTheme="minorHAnsi" w:cstheme="minorBidi"/>
                <w:color w:val="auto"/>
                <w:kern w:val="18"/>
                <w:sz w:val="18"/>
                <w:szCs w:val="18"/>
                <w:lang w:val="en-US" w:eastAsia="en-US"/>
              </w:rPr>
              <w:t xml:space="preserve">growth in </w:t>
            </w:r>
            <w:r>
              <w:rPr>
                <w:rFonts w:asciiTheme="minorHAnsi" w:eastAsiaTheme="minorHAnsi" w:hAnsiTheme="minorHAnsi" w:cstheme="minorBidi"/>
                <w:color w:val="auto"/>
                <w:kern w:val="18"/>
                <w:sz w:val="18"/>
                <w:szCs w:val="18"/>
                <w:lang w:val="en-US" w:eastAsia="en-US"/>
              </w:rPr>
              <w:t xml:space="preserve">population aged 75+ by the end of the plan period can </w:t>
            </w:r>
            <w:r w:rsidR="008504FB">
              <w:rPr>
                <w:rFonts w:asciiTheme="minorHAnsi" w:eastAsiaTheme="minorHAnsi" w:hAnsiTheme="minorHAnsi" w:cstheme="minorBidi"/>
                <w:color w:val="auto"/>
                <w:kern w:val="18"/>
                <w:sz w:val="18"/>
                <w:szCs w:val="18"/>
                <w:lang w:val="en-US" w:eastAsia="en-US"/>
              </w:rPr>
              <w:t>then</w:t>
            </w:r>
            <w:r w:rsidR="003B0CE1">
              <w:rPr>
                <w:rFonts w:asciiTheme="minorHAnsi" w:eastAsiaTheme="minorHAnsi" w:hAnsiTheme="minorHAnsi" w:cstheme="minorBidi"/>
                <w:color w:val="auto"/>
                <w:kern w:val="18"/>
                <w:sz w:val="18"/>
                <w:szCs w:val="18"/>
                <w:lang w:val="en-US" w:eastAsia="en-US"/>
              </w:rPr>
              <w:t xml:space="preserve"> be</w:t>
            </w:r>
            <w:r w:rsidR="008504FB">
              <w:rPr>
                <w:rFonts w:asciiTheme="minorHAnsi" w:eastAsiaTheme="minorHAnsi" w:hAnsiTheme="minorHAnsi" w:cstheme="minorBidi"/>
                <w:color w:val="auto"/>
                <w:kern w:val="18"/>
                <w:sz w:val="18"/>
                <w:szCs w:val="18"/>
                <w:lang w:val="en-US" w:eastAsia="en-US"/>
              </w:rPr>
              <w:t xml:space="preserve"> </w:t>
            </w:r>
            <w:r>
              <w:rPr>
                <w:rFonts w:asciiTheme="minorHAnsi" w:eastAsiaTheme="minorHAnsi" w:hAnsiTheme="minorHAnsi" w:cstheme="minorBidi"/>
                <w:color w:val="auto"/>
                <w:kern w:val="18"/>
                <w:sz w:val="18"/>
                <w:szCs w:val="18"/>
                <w:lang w:val="en-US" w:eastAsia="en-US"/>
              </w:rPr>
              <w:t xml:space="preserve">combined </w:t>
            </w:r>
            <w:r w:rsidR="003B0CE1">
              <w:rPr>
                <w:rFonts w:asciiTheme="minorHAnsi" w:eastAsiaTheme="minorHAnsi" w:hAnsiTheme="minorHAnsi" w:cstheme="minorBidi"/>
                <w:color w:val="auto"/>
                <w:kern w:val="18"/>
                <w:sz w:val="18"/>
                <w:szCs w:val="18"/>
                <w:lang w:val="en-US" w:eastAsia="en-US"/>
              </w:rPr>
              <w:t xml:space="preserve">to </w:t>
            </w:r>
            <w:r>
              <w:rPr>
                <w:rFonts w:asciiTheme="minorHAnsi" w:eastAsiaTheme="minorHAnsi" w:hAnsiTheme="minorHAnsi" w:cstheme="minorBidi"/>
                <w:color w:val="auto"/>
                <w:kern w:val="18"/>
                <w:sz w:val="18"/>
                <w:szCs w:val="18"/>
                <w:lang w:val="en-US" w:eastAsia="en-US"/>
              </w:rPr>
              <w:t>project a tenure mix of households aged 75+ at the end of the plan period.</w:t>
            </w:r>
          </w:p>
          <w:p w14:paraId="32422AF9" w14:textId="6CB533AA" w:rsidR="004C157F" w:rsidRDefault="004C157F" w:rsidP="00F47EDB">
            <w:pPr>
              <w:pStyle w:val="BodyText"/>
              <w:rPr>
                <w:rFonts w:asciiTheme="minorHAnsi" w:eastAsiaTheme="minorHAnsi" w:hAnsiTheme="minorHAnsi" w:cstheme="minorBidi"/>
                <w:color w:val="auto"/>
                <w:kern w:val="18"/>
                <w:sz w:val="18"/>
                <w:szCs w:val="18"/>
                <w:lang w:val="en-US" w:eastAsia="en-US"/>
              </w:rPr>
            </w:pPr>
            <w:r>
              <w:rPr>
                <w:rFonts w:asciiTheme="minorHAnsi" w:eastAsiaTheme="minorHAnsi" w:hAnsiTheme="minorHAnsi" w:cstheme="minorBidi"/>
                <w:color w:val="auto"/>
                <w:kern w:val="18"/>
                <w:sz w:val="18"/>
                <w:szCs w:val="18"/>
                <w:lang w:val="en-US" w:eastAsia="en-US"/>
              </w:rPr>
              <w:t xml:space="preserve">Next the DC3408EW Health Status Census data on the incidence of mobility limitations is considered. </w:t>
            </w:r>
            <w:r w:rsidR="008504FB">
              <w:rPr>
                <w:rFonts w:asciiTheme="minorHAnsi" w:eastAsiaTheme="minorHAnsi" w:hAnsiTheme="minorHAnsi" w:cstheme="minorBidi"/>
                <w:color w:val="auto"/>
                <w:kern w:val="18"/>
                <w:sz w:val="18"/>
                <w:szCs w:val="18"/>
                <w:lang w:val="en-US" w:eastAsia="en-US"/>
              </w:rPr>
              <w:t xml:space="preserve">Our tenure led approach projects a need for </w:t>
            </w:r>
            <w:r w:rsidR="0008380D">
              <w:rPr>
                <w:rFonts w:asciiTheme="minorHAnsi" w:eastAsiaTheme="minorHAnsi" w:hAnsiTheme="minorHAnsi" w:cstheme="minorBidi"/>
                <w:color w:val="auto"/>
                <w:kern w:val="18"/>
                <w:sz w:val="18"/>
                <w:szCs w:val="18"/>
                <w:lang w:val="en-US" w:eastAsia="en-US"/>
              </w:rPr>
              <w:t>1,029</w:t>
            </w:r>
            <w:r w:rsidR="008504FB">
              <w:rPr>
                <w:rFonts w:asciiTheme="minorHAnsi" w:eastAsiaTheme="minorHAnsi" w:hAnsiTheme="minorHAnsi" w:cstheme="minorBidi"/>
                <w:color w:val="auto"/>
                <w:kern w:val="18"/>
                <w:sz w:val="18"/>
                <w:szCs w:val="18"/>
                <w:lang w:val="en-US" w:eastAsia="en-US"/>
              </w:rPr>
              <w:t xml:space="preserve"> specialist dwellings, comprised of </w:t>
            </w:r>
            <w:r w:rsidR="0008380D">
              <w:rPr>
                <w:rFonts w:asciiTheme="minorHAnsi" w:eastAsiaTheme="minorHAnsi" w:hAnsiTheme="minorHAnsi" w:cstheme="minorBidi"/>
                <w:color w:val="auto"/>
                <w:kern w:val="18"/>
                <w:sz w:val="18"/>
                <w:szCs w:val="18"/>
                <w:lang w:val="en-US" w:eastAsia="en-US"/>
              </w:rPr>
              <w:t>258</w:t>
            </w:r>
            <w:r w:rsidR="008504FB">
              <w:rPr>
                <w:rFonts w:asciiTheme="minorHAnsi" w:eastAsiaTheme="minorHAnsi" w:hAnsiTheme="minorHAnsi" w:cstheme="minorBidi"/>
                <w:color w:val="auto"/>
                <w:kern w:val="18"/>
                <w:sz w:val="18"/>
                <w:szCs w:val="18"/>
                <w:lang w:val="en-US" w:eastAsia="en-US"/>
              </w:rPr>
              <w:t xml:space="preserve"> for rent and </w:t>
            </w:r>
            <w:r w:rsidR="0008380D">
              <w:rPr>
                <w:rFonts w:asciiTheme="minorHAnsi" w:eastAsiaTheme="minorHAnsi" w:hAnsiTheme="minorHAnsi" w:cstheme="minorBidi"/>
                <w:color w:val="auto"/>
                <w:kern w:val="18"/>
                <w:sz w:val="18"/>
                <w:szCs w:val="18"/>
                <w:lang w:val="en-US" w:eastAsia="en-US"/>
              </w:rPr>
              <w:t>772</w:t>
            </w:r>
            <w:r w:rsidR="008504FB">
              <w:rPr>
                <w:rFonts w:asciiTheme="minorHAnsi" w:eastAsiaTheme="minorHAnsi" w:hAnsiTheme="minorHAnsi" w:cstheme="minorBidi"/>
                <w:color w:val="auto"/>
                <w:kern w:val="18"/>
                <w:sz w:val="18"/>
                <w:szCs w:val="18"/>
                <w:lang w:val="en-US" w:eastAsia="en-US"/>
              </w:rPr>
              <w:t xml:space="preserve"> for owner occupiers.</w:t>
            </w:r>
          </w:p>
          <w:p w14:paraId="72556045" w14:textId="7E8C0275" w:rsidR="008504FB" w:rsidRPr="00DA4FE7" w:rsidRDefault="008504FB" w:rsidP="00F47EDB">
            <w:pPr>
              <w:pStyle w:val="BodyText"/>
              <w:rPr>
                <w:sz w:val="18"/>
                <w:szCs w:val="18"/>
              </w:rPr>
            </w:pPr>
            <w:r>
              <w:rPr>
                <w:rFonts w:asciiTheme="minorHAnsi" w:eastAsiaTheme="minorHAnsi" w:hAnsiTheme="minorHAnsi" w:cstheme="minorBidi"/>
                <w:color w:val="auto"/>
                <w:kern w:val="18"/>
                <w:sz w:val="18"/>
                <w:szCs w:val="18"/>
                <w:lang w:val="en-US" w:eastAsia="en-US"/>
              </w:rPr>
              <w:t xml:space="preserve">The Housing Lin approach produces a need for </w:t>
            </w:r>
            <w:r w:rsidR="0008380D">
              <w:rPr>
                <w:rFonts w:asciiTheme="minorHAnsi" w:eastAsiaTheme="minorHAnsi" w:hAnsiTheme="minorHAnsi" w:cstheme="minorBidi"/>
                <w:color w:val="auto"/>
                <w:kern w:val="18"/>
                <w:sz w:val="18"/>
                <w:szCs w:val="18"/>
                <w:lang w:val="en-US" w:eastAsia="en-US"/>
              </w:rPr>
              <w:t>1,374</w:t>
            </w:r>
            <w:r>
              <w:rPr>
                <w:rFonts w:asciiTheme="minorHAnsi" w:eastAsiaTheme="minorHAnsi" w:hAnsiTheme="minorHAnsi" w:cstheme="minorBidi"/>
                <w:color w:val="auto"/>
                <w:kern w:val="18"/>
                <w:sz w:val="18"/>
                <w:szCs w:val="18"/>
                <w:lang w:val="en-US" w:eastAsia="en-US"/>
              </w:rPr>
              <w:t xml:space="preserve"> specialist dwellings.</w:t>
            </w:r>
          </w:p>
        </w:tc>
        <w:tc>
          <w:tcPr>
            <w:tcW w:w="3039" w:type="dxa"/>
          </w:tcPr>
          <w:p w14:paraId="37675F05" w14:textId="32AAFE39" w:rsidR="00F47EDB" w:rsidRDefault="008504FB" w:rsidP="00F47EDB">
            <w:pPr>
              <w:pStyle w:val="BodyText"/>
              <w:rPr>
                <w:sz w:val="18"/>
                <w:szCs w:val="18"/>
              </w:rPr>
            </w:pPr>
            <w:r>
              <w:rPr>
                <w:sz w:val="18"/>
                <w:szCs w:val="18"/>
              </w:rPr>
              <w:t>Weymouth has an ageing population and the population over 75 is forecast to almost double from 5,505 to 10,981 over the plan period. Our projections forecast that by 2038 there will be</w:t>
            </w:r>
            <w:r w:rsidR="0008380D">
              <w:rPr>
                <w:sz w:val="18"/>
                <w:szCs w:val="18"/>
              </w:rPr>
              <w:t xml:space="preserve"> a growth of</w:t>
            </w:r>
            <w:r>
              <w:rPr>
                <w:sz w:val="18"/>
                <w:szCs w:val="18"/>
              </w:rPr>
              <w:t xml:space="preserve"> </w:t>
            </w:r>
            <w:r w:rsidR="0008380D">
              <w:rPr>
                <w:sz w:val="18"/>
                <w:szCs w:val="18"/>
              </w:rPr>
              <w:t>4,594</w:t>
            </w:r>
            <w:r w:rsidR="00281AC1">
              <w:rPr>
                <w:sz w:val="18"/>
                <w:szCs w:val="18"/>
              </w:rPr>
              <w:t xml:space="preserve"> households aged 75+ comprised of </w:t>
            </w:r>
            <w:r w:rsidR="0008380D">
              <w:rPr>
                <w:sz w:val="18"/>
                <w:szCs w:val="18"/>
              </w:rPr>
              <w:t>3,877</w:t>
            </w:r>
            <w:r w:rsidR="00281AC1">
              <w:rPr>
                <w:sz w:val="18"/>
                <w:szCs w:val="18"/>
              </w:rPr>
              <w:t xml:space="preserve"> owner occupiers and </w:t>
            </w:r>
            <w:r w:rsidR="0008380D">
              <w:rPr>
                <w:sz w:val="18"/>
                <w:szCs w:val="18"/>
              </w:rPr>
              <w:t>717</w:t>
            </w:r>
            <w:r w:rsidR="00281AC1">
              <w:rPr>
                <w:sz w:val="18"/>
                <w:szCs w:val="18"/>
              </w:rPr>
              <w:t xml:space="preserve"> renters.</w:t>
            </w:r>
          </w:p>
          <w:p w14:paraId="35CB629C" w14:textId="3CBB1DA2" w:rsidR="00281AC1" w:rsidRDefault="00281AC1" w:rsidP="00F47EDB">
            <w:pPr>
              <w:pStyle w:val="BodyText"/>
              <w:rPr>
                <w:sz w:val="18"/>
                <w:szCs w:val="18"/>
              </w:rPr>
            </w:pPr>
            <w:r>
              <w:rPr>
                <w:sz w:val="18"/>
                <w:szCs w:val="18"/>
              </w:rPr>
              <w:t xml:space="preserve">To determine an estimate of specialist housing need our models </w:t>
            </w:r>
            <w:r w:rsidR="003B0CE1">
              <w:rPr>
                <w:sz w:val="18"/>
                <w:szCs w:val="18"/>
              </w:rPr>
              <w:t xml:space="preserve">then </w:t>
            </w:r>
            <w:r>
              <w:rPr>
                <w:sz w:val="18"/>
                <w:szCs w:val="18"/>
              </w:rPr>
              <w:t xml:space="preserve">use census data on mobility limitations. </w:t>
            </w:r>
            <w:r w:rsidR="003B0CE1">
              <w:rPr>
                <w:sz w:val="18"/>
                <w:szCs w:val="18"/>
              </w:rPr>
              <w:t>This</w:t>
            </w:r>
            <w:r>
              <w:rPr>
                <w:sz w:val="18"/>
                <w:szCs w:val="18"/>
              </w:rPr>
              <w:t xml:space="preserve"> produces a total need figure of </w:t>
            </w:r>
            <w:r w:rsidR="0008380D">
              <w:rPr>
                <w:sz w:val="18"/>
                <w:szCs w:val="18"/>
              </w:rPr>
              <w:t>1,029</w:t>
            </w:r>
            <w:r>
              <w:rPr>
                <w:sz w:val="18"/>
                <w:szCs w:val="18"/>
              </w:rPr>
              <w:t xml:space="preserve"> specialist dwellings, </w:t>
            </w:r>
            <w:r w:rsidR="003B0CE1">
              <w:rPr>
                <w:sz w:val="18"/>
                <w:szCs w:val="18"/>
              </w:rPr>
              <w:t xml:space="preserve">of which </w:t>
            </w:r>
            <w:r w:rsidR="0008380D">
              <w:rPr>
                <w:sz w:val="18"/>
                <w:szCs w:val="18"/>
              </w:rPr>
              <w:t>258</w:t>
            </w:r>
            <w:r>
              <w:rPr>
                <w:sz w:val="18"/>
                <w:szCs w:val="18"/>
              </w:rPr>
              <w:t xml:space="preserve"> for rent and </w:t>
            </w:r>
            <w:r w:rsidR="0008380D">
              <w:rPr>
                <w:sz w:val="18"/>
                <w:szCs w:val="18"/>
              </w:rPr>
              <w:t>772</w:t>
            </w:r>
            <w:r>
              <w:rPr>
                <w:sz w:val="18"/>
                <w:szCs w:val="18"/>
              </w:rPr>
              <w:t xml:space="preserve"> for owner occupiers. </w:t>
            </w:r>
          </w:p>
          <w:p w14:paraId="1255ADA7" w14:textId="71D3502B" w:rsidR="00281AC1" w:rsidRDefault="00281AC1" w:rsidP="00F47EDB">
            <w:pPr>
              <w:pStyle w:val="BodyText"/>
              <w:rPr>
                <w:sz w:val="18"/>
                <w:szCs w:val="18"/>
              </w:rPr>
            </w:pPr>
            <w:r>
              <w:rPr>
                <w:sz w:val="18"/>
                <w:szCs w:val="18"/>
              </w:rPr>
              <w:t>The Housing Lin approach is a respected model which is useful</w:t>
            </w:r>
            <w:r w:rsidR="003B0CE1">
              <w:rPr>
                <w:sz w:val="18"/>
                <w:szCs w:val="18"/>
              </w:rPr>
              <w:t xml:space="preserve"> for</w:t>
            </w:r>
            <w:r>
              <w:rPr>
                <w:sz w:val="18"/>
                <w:szCs w:val="18"/>
              </w:rPr>
              <w:t xml:space="preserve"> compar</w:t>
            </w:r>
            <w:r w:rsidR="003B0CE1">
              <w:rPr>
                <w:sz w:val="18"/>
                <w:szCs w:val="18"/>
              </w:rPr>
              <w:t>ison</w:t>
            </w:r>
            <w:r>
              <w:rPr>
                <w:sz w:val="18"/>
                <w:szCs w:val="18"/>
              </w:rPr>
              <w:t xml:space="preserve"> and produces a </w:t>
            </w:r>
            <w:r w:rsidR="0008380D">
              <w:rPr>
                <w:sz w:val="18"/>
                <w:szCs w:val="18"/>
              </w:rPr>
              <w:t>higher</w:t>
            </w:r>
            <w:r>
              <w:rPr>
                <w:sz w:val="18"/>
                <w:szCs w:val="18"/>
              </w:rPr>
              <w:t xml:space="preserve"> range minimum </w:t>
            </w:r>
            <w:r w:rsidR="003B0CE1">
              <w:rPr>
                <w:sz w:val="18"/>
                <w:szCs w:val="18"/>
              </w:rPr>
              <w:t xml:space="preserve">need </w:t>
            </w:r>
            <w:r>
              <w:rPr>
                <w:sz w:val="18"/>
                <w:szCs w:val="18"/>
              </w:rPr>
              <w:t xml:space="preserve">figure of </w:t>
            </w:r>
            <w:r w:rsidR="0008380D">
              <w:rPr>
                <w:sz w:val="18"/>
                <w:szCs w:val="18"/>
              </w:rPr>
              <w:t>1,374</w:t>
            </w:r>
            <w:r>
              <w:rPr>
                <w:sz w:val="18"/>
                <w:szCs w:val="18"/>
              </w:rPr>
              <w:t xml:space="preserve"> specialist dwellings.</w:t>
            </w:r>
          </w:p>
          <w:p w14:paraId="505B1C38" w14:textId="6147B813" w:rsidR="00281AC1" w:rsidRPr="00DA4FE7" w:rsidRDefault="00281AC1" w:rsidP="00F47EDB">
            <w:pPr>
              <w:pStyle w:val="BodyText"/>
              <w:rPr>
                <w:sz w:val="18"/>
                <w:szCs w:val="18"/>
              </w:rPr>
            </w:pPr>
            <w:r>
              <w:rPr>
                <w:sz w:val="18"/>
                <w:szCs w:val="18"/>
              </w:rPr>
              <w:t>Therefore, the additional need for specialist dwellings</w:t>
            </w:r>
            <w:r w:rsidR="003B0CE1">
              <w:rPr>
                <w:sz w:val="18"/>
                <w:szCs w:val="18"/>
              </w:rPr>
              <w:t xml:space="preserve"> for older people</w:t>
            </w:r>
            <w:r>
              <w:rPr>
                <w:sz w:val="18"/>
                <w:szCs w:val="18"/>
              </w:rPr>
              <w:t xml:space="preserve"> is likely to fall between </w:t>
            </w:r>
            <w:r w:rsidR="0008380D">
              <w:rPr>
                <w:sz w:val="18"/>
                <w:szCs w:val="18"/>
              </w:rPr>
              <w:t>1,029</w:t>
            </w:r>
            <w:r>
              <w:rPr>
                <w:sz w:val="18"/>
                <w:szCs w:val="18"/>
              </w:rPr>
              <w:t xml:space="preserve"> and </w:t>
            </w:r>
            <w:r w:rsidR="0008380D">
              <w:rPr>
                <w:sz w:val="18"/>
                <w:szCs w:val="18"/>
              </w:rPr>
              <w:t>1,374</w:t>
            </w:r>
            <w:r w:rsidR="00C26426">
              <w:rPr>
                <w:sz w:val="18"/>
                <w:szCs w:val="18"/>
              </w:rPr>
              <w:t xml:space="preserve"> dwellings</w:t>
            </w:r>
            <w:r>
              <w:rPr>
                <w:sz w:val="18"/>
                <w:szCs w:val="18"/>
              </w:rPr>
              <w:t xml:space="preserve"> by the end of the plan period.</w:t>
            </w:r>
          </w:p>
        </w:tc>
      </w:tr>
    </w:tbl>
    <w:p w14:paraId="532A636B" w14:textId="77777777" w:rsidR="002C2D5C" w:rsidRPr="006947CD" w:rsidRDefault="002C2D5C" w:rsidP="002C2D5C">
      <w:pPr>
        <w:pStyle w:val="Heading2"/>
        <w:jc w:val="both"/>
      </w:pPr>
      <w:bookmarkStart w:id="219" w:name="_Toc425332024"/>
      <w:bookmarkStart w:id="220" w:name="_Toc461696231"/>
      <w:bookmarkStart w:id="221" w:name="_Toc64026828"/>
      <w:bookmarkEnd w:id="217"/>
      <w:r w:rsidRPr="006947CD">
        <w:t>Recommendations for next steps</w:t>
      </w:r>
      <w:bookmarkEnd w:id="219"/>
      <w:bookmarkEnd w:id="220"/>
      <w:bookmarkEnd w:id="221"/>
    </w:p>
    <w:p w14:paraId="1C34EADF" w14:textId="62544EE9" w:rsidR="002C2D5C" w:rsidRPr="00965CE9" w:rsidRDefault="00A50BD6" w:rsidP="00A82210">
      <w:pPr>
        <w:pStyle w:val="ListNumber"/>
      </w:pPr>
      <w:r>
        <w:t>This N</w:t>
      </w:r>
      <w:r w:rsidR="002C2D5C" w:rsidRPr="00965CE9">
        <w:t>eighbo</w:t>
      </w:r>
      <w:r>
        <w:t>urhood P</w:t>
      </w:r>
      <w:r w:rsidR="00B909CB">
        <w:t xml:space="preserve">lan housing needs assessment aims </w:t>
      </w:r>
      <w:r w:rsidR="002C2D5C" w:rsidRPr="00965CE9">
        <w:t xml:space="preserve">to provide </w:t>
      </w:r>
      <w:r w:rsidR="0015105E">
        <w:rPr>
          <w:color w:val="auto"/>
        </w:rPr>
        <w:t>Weymouth</w:t>
      </w:r>
      <w:r w:rsidR="002C2D5C" w:rsidRPr="00965CE9">
        <w:t xml:space="preserve"> with evidence on </w:t>
      </w:r>
      <w:r w:rsidR="00B909CB">
        <w:t xml:space="preserve">a range of </w:t>
      </w:r>
      <w:r w:rsidR="002C2D5C" w:rsidRPr="00965CE9">
        <w:t xml:space="preserve">housing trends </w:t>
      </w:r>
      <w:r w:rsidR="00B909CB">
        <w:t xml:space="preserve">and issues </w:t>
      </w:r>
      <w:r w:rsidR="002C2D5C" w:rsidRPr="00965CE9">
        <w:t xml:space="preserve">from a range of </w:t>
      </w:r>
      <w:r w:rsidR="00B909CB">
        <w:t xml:space="preserve">relevant </w:t>
      </w:r>
      <w:r w:rsidR="002C2D5C" w:rsidRPr="00965CE9">
        <w:t xml:space="preserve">sources. We recommend that </w:t>
      </w:r>
      <w:r w:rsidR="00DF38AF" w:rsidRPr="00965CE9">
        <w:t xml:space="preserve">the neighbourhood planners </w:t>
      </w:r>
      <w:r w:rsidR="002C2D5C" w:rsidRPr="00965CE9">
        <w:t xml:space="preserve">should, as a next step, discuss the contents and conclusions with </w:t>
      </w:r>
      <w:r w:rsidR="00A23F1C">
        <w:t>Dorset Council</w:t>
      </w:r>
      <w:r w:rsidR="002C2D5C" w:rsidRPr="00965CE9">
        <w:t xml:space="preserve"> with a view to agreeing and formulating draft housing policies, bearing the following in mind:</w:t>
      </w:r>
    </w:p>
    <w:p w14:paraId="35232F2D" w14:textId="5C30384D" w:rsidR="002C2D5C" w:rsidRPr="00965CE9" w:rsidRDefault="00CD1EBD" w:rsidP="00A82210">
      <w:pPr>
        <w:pStyle w:val="ListNumber"/>
        <w:numPr>
          <w:ilvl w:val="0"/>
          <w:numId w:val="22"/>
        </w:numPr>
      </w:pPr>
      <w:r>
        <w:t xml:space="preserve">All </w:t>
      </w:r>
      <w:r w:rsidR="002C2D5C" w:rsidRPr="00965CE9">
        <w:t>Neighbourhood Planning Basic Condition</w:t>
      </w:r>
      <w:r>
        <w:t>s, but in particular the following:</w:t>
      </w:r>
      <w:r w:rsidR="002C2D5C" w:rsidRPr="00965CE9">
        <w:t xml:space="preserve"> </w:t>
      </w:r>
      <w:r>
        <w:t xml:space="preserve">Condition </w:t>
      </w:r>
      <w:r w:rsidR="002C2D5C" w:rsidRPr="00965CE9">
        <w:t xml:space="preserve">A, </w:t>
      </w:r>
      <w:r w:rsidR="00B909CB">
        <w:t>namely that the Neighbourhood Plan</w:t>
      </w:r>
      <w:r w:rsidR="002C2D5C" w:rsidRPr="00965CE9">
        <w:t xml:space="preserve"> has regard to national policies and advice contained in guidance issued by the Secretary of State; Condi</w:t>
      </w:r>
      <w:r w:rsidR="00B909CB">
        <w:t>tion D, that the making of the Neighbourhood P</w:t>
      </w:r>
      <w:r w:rsidR="002C2D5C" w:rsidRPr="00965CE9">
        <w:t>lan contributes to the achievement of sustainable development; and Conditio</w:t>
      </w:r>
      <w:r w:rsidR="00B909CB">
        <w:t>n E, which is the need for the Neighbourhood P</w:t>
      </w:r>
      <w:r w:rsidR="002C2D5C" w:rsidRPr="00965CE9">
        <w:t xml:space="preserve">lan to be in general conformity with the </w:t>
      </w:r>
      <w:r w:rsidR="00B909CB">
        <w:t xml:space="preserve">strategic </w:t>
      </w:r>
      <w:r w:rsidR="00A811CE">
        <w:t xml:space="preserve">policies of the adopted </w:t>
      </w:r>
      <w:r w:rsidR="00B909CB">
        <w:t>development plan;</w:t>
      </w:r>
    </w:p>
    <w:p w14:paraId="21D593BC" w14:textId="2DD5F44D" w:rsidR="002C2D5C" w:rsidRPr="00965CE9" w:rsidRDefault="002C2D5C" w:rsidP="00A82210">
      <w:pPr>
        <w:pStyle w:val="ListNumber"/>
        <w:numPr>
          <w:ilvl w:val="0"/>
          <w:numId w:val="22"/>
        </w:numPr>
      </w:pPr>
      <w:r w:rsidRPr="00965CE9">
        <w:t>The views of</w:t>
      </w:r>
      <w:r w:rsidRPr="00965CE9">
        <w:rPr>
          <w:color w:val="FF0000"/>
        </w:rPr>
        <w:t xml:space="preserve"> </w:t>
      </w:r>
      <w:r w:rsidR="00A23F1C">
        <w:rPr>
          <w:color w:val="auto"/>
        </w:rPr>
        <w:t>Dorset Council</w:t>
      </w:r>
      <w:r w:rsidRPr="00965CE9">
        <w:t xml:space="preserve"> – in particular in relation to the </w:t>
      </w:r>
      <w:r w:rsidR="00B909CB">
        <w:t>quantity of housing</w:t>
      </w:r>
      <w:r w:rsidRPr="00965CE9">
        <w:t xml:space="preserve"> that should be </w:t>
      </w:r>
      <w:r w:rsidR="00B909CB">
        <w:t>planned for;</w:t>
      </w:r>
    </w:p>
    <w:p w14:paraId="19916A97" w14:textId="4893F841" w:rsidR="002C2D5C" w:rsidRPr="00965CE9" w:rsidRDefault="002C2D5C" w:rsidP="00A82210">
      <w:pPr>
        <w:pStyle w:val="ListNumber"/>
        <w:numPr>
          <w:ilvl w:val="0"/>
          <w:numId w:val="22"/>
        </w:numPr>
      </w:pPr>
      <w:r w:rsidRPr="00965CE9">
        <w:t>The view</w:t>
      </w:r>
      <w:r w:rsidR="00B909CB">
        <w:t>s of local residents;</w:t>
      </w:r>
    </w:p>
    <w:p w14:paraId="7AB2EDC8" w14:textId="6C7AE05C" w:rsidR="002C2D5C" w:rsidRPr="00965CE9" w:rsidRDefault="002C2D5C" w:rsidP="00A82210">
      <w:pPr>
        <w:pStyle w:val="ListNumber"/>
        <w:numPr>
          <w:ilvl w:val="0"/>
          <w:numId w:val="22"/>
        </w:numPr>
      </w:pPr>
      <w:r w:rsidRPr="00965CE9">
        <w:t>The views of other relevant local stakeholder</w:t>
      </w:r>
      <w:r w:rsidR="00B909CB">
        <w:t>s, including housing developers</w:t>
      </w:r>
      <w:r w:rsidR="00481241">
        <w:t xml:space="preserve"> and estate agents</w:t>
      </w:r>
      <w:r w:rsidR="00B909CB">
        <w:t>;</w:t>
      </w:r>
    </w:p>
    <w:p w14:paraId="3D590412" w14:textId="30A56DCD" w:rsidR="002C2D5C" w:rsidRPr="00965CE9" w:rsidRDefault="002C2D5C" w:rsidP="00A82210">
      <w:pPr>
        <w:pStyle w:val="ListNumber"/>
        <w:numPr>
          <w:ilvl w:val="0"/>
          <w:numId w:val="22"/>
        </w:numPr>
      </w:pPr>
      <w:r w:rsidRPr="00965CE9">
        <w:t>The numerous supply-side considerations, including local environmental constraints, the location and characteristics of suitable land, and any capacity work</w:t>
      </w:r>
      <w:r w:rsidR="00B909CB">
        <w:t xml:space="preserve"> carried out by </w:t>
      </w:r>
      <w:r w:rsidR="00A23F1C">
        <w:rPr>
          <w:color w:val="auto"/>
        </w:rPr>
        <w:t>Dorset Council</w:t>
      </w:r>
      <w:r w:rsidRPr="00965CE9">
        <w:t>, in</w:t>
      </w:r>
      <w:r w:rsidR="00B909CB">
        <w:t>cluding but not limited to the Strategic Housing Land Availability Assessment (SHLAA);</w:t>
      </w:r>
    </w:p>
    <w:p w14:paraId="1AFE0E78" w14:textId="6C435F3E" w:rsidR="002C2D5C" w:rsidRPr="00965CE9" w:rsidRDefault="002C2D5C" w:rsidP="00A82210">
      <w:pPr>
        <w:pStyle w:val="ListNumber"/>
        <w:numPr>
          <w:ilvl w:val="0"/>
          <w:numId w:val="22"/>
        </w:numPr>
      </w:pPr>
      <w:r w:rsidRPr="00965CE9">
        <w:t>The recommendat</w:t>
      </w:r>
      <w:r w:rsidR="00B67195">
        <w:t>ions and findings of this study; and</w:t>
      </w:r>
    </w:p>
    <w:p w14:paraId="1F7DC299" w14:textId="6784A04F" w:rsidR="002C2D5C" w:rsidRPr="00965CE9" w:rsidRDefault="00B67195" w:rsidP="00A82210">
      <w:pPr>
        <w:pStyle w:val="ListNumber"/>
        <w:numPr>
          <w:ilvl w:val="0"/>
          <w:numId w:val="22"/>
        </w:numPr>
      </w:pPr>
      <w:r>
        <w:t>The impact of the Government’s Standard M</w:t>
      </w:r>
      <w:r w:rsidR="002C2D5C" w:rsidRPr="00965CE9">
        <w:t xml:space="preserve">ethodology on calculating housing need </w:t>
      </w:r>
      <w:r>
        <w:t xml:space="preserve">for </w:t>
      </w:r>
      <w:r w:rsidR="00A23F1C">
        <w:t>Dorset Council</w:t>
      </w:r>
      <w:r>
        <w:t xml:space="preserve"> and the neighbourhood plan areas within it</w:t>
      </w:r>
      <w:r w:rsidR="002C2D5C" w:rsidRPr="00965CE9">
        <w:t>.</w:t>
      </w:r>
    </w:p>
    <w:p w14:paraId="156CEB9E" w14:textId="3387D9AE" w:rsidR="002C2D5C" w:rsidRPr="00965CE9" w:rsidRDefault="002C2D5C" w:rsidP="00A82210">
      <w:pPr>
        <w:pStyle w:val="ListNumber"/>
      </w:pPr>
      <w:r w:rsidRPr="00965CE9">
        <w:t xml:space="preserve">This </w:t>
      </w:r>
      <w:r w:rsidR="0046675F">
        <w:t>assessment</w:t>
      </w:r>
      <w:r w:rsidRPr="00965CE9">
        <w:t xml:space="preserve"> has been provided in good faith by AECOM consultants o</w:t>
      </w:r>
      <w:r w:rsidR="00B67195">
        <w:t xml:space="preserve">n the basis of housing data, </w:t>
      </w:r>
      <w:r w:rsidRPr="00965CE9">
        <w:t xml:space="preserve">national guidance </w:t>
      </w:r>
      <w:r w:rsidR="00B67195">
        <w:t xml:space="preserve">and </w:t>
      </w:r>
      <w:r w:rsidR="00B67195" w:rsidRPr="00965CE9">
        <w:t xml:space="preserve">other relevant and available information </w:t>
      </w:r>
      <w:r w:rsidRPr="00965CE9">
        <w:t>current a</w:t>
      </w:r>
      <w:r w:rsidR="00B67195">
        <w:t>t the time of writing</w:t>
      </w:r>
      <w:r w:rsidRPr="00965CE9">
        <w:t>.</w:t>
      </w:r>
    </w:p>
    <w:p w14:paraId="0E97CE44" w14:textId="7D81956D" w:rsidR="002C2D5C" w:rsidRPr="00965CE9" w:rsidRDefault="002C2D5C" w:rsidP="00A82210">
      <w:pPr>
        <w:pStyle w:val="ListNumber"/>
      </w:pPr>
      <w:r w:rsidRPr="00965CE9">
        <w:t xml:space="preserve">Bearing this in mind, </w:t>
      </w:r>
      <w:r w:rsidR="002B4670">
        <w:t>it is</w:t>
      </w:r>
      <w:r w:rsidR="002B4670" w:rsidRPr="00965CE9">
        <w:t xml:space="preserve"> </w:t>
      </w:r>
      <w:r w:rsidRPr="00965CE9">
        <w:t>recommend</w:t>
      </w:r>
      <w:r w:rsidR="002B4670">
        <w:t>ed</w:t>
      </w:r>
      <w:r w:rsidRPr="00965CE9">
        <w:t xml:space="preserve"> that the </w:t>
      </w:r>
      <w:r w:rsidR="0046675F">
        <w:t xml:space="preserve">Neighbourhood Plan </w:t>
      </w:r>
      <w:r w:rsidRPr="00965CE9">
        <w:t>steering group should monitor carefully strategies and documents with an impact</w:t>
      </w:r>
      <w:r w:rsidR="00B67195">
        <w:t xml:space="preserve"> on housing policy produced by the Government, </w:t>
      </w:r>
      <w:r w:rsidR="00A23F1C">
        <w:t xml:space="preserve">Dorset Council </w:t>
      </w:r>
      <w:r w:rsidR="00B67195">
        <w:t>or any other relevant party and review the Neighbourhood P</w:t>
      </w:r>
      <w:r w:rsidRPr="00965CE9">
        <w:t xml:space="preserve">lan accordingly to ensure that general conformity is maintained. </w:t>
      </w:r>
    </w:p>
    <w:p w14:paraId="70D0AD37" w14:textId="10853755" w:rsidR="002C2D5C" w:rsidRPr="00965CE9" w:rsidRDefault="002C2D5C" w:rsidP="00A82210">
      <w:pPr>
        <w:pStyle w:val="ListNumber"/>
      </w:pPr>
      <w:r w:rsidRPr="00965CE9">
        <w:t xml:space="preserve">At the same time, monitoring on-going demographic or other trends over the </w:t>
      </w:r>
      <w:r w:rsidR="00B67195">
        <w:t xml:space="preserve">Neighbourhood Plan </w:t>
      </w:r>
      <w:r w:rsidRPr="00965CE9">
        <w:t xml:space="preserve">period </w:t>
      </w:r>
      <w:r w:rsidR="00B67195">
        <w:t>will</w:t>
      </w:r>
      <w:r w:rsidRPr="00965CE9">
        <w:t xml:space="preserve"> help ensure </w:t>
      </w:r>
      <w:r w:rsidR="00B67195">
        <w:t xml:space="preserve">the continued </w:t>
      </w:r>
      <w:r w:rsidRPr="00965CE9">
        <w:t>relevance and credibility of its policies.</w:t>
      </w:r>
    </w:p>
    <w:p w14:paraId="6C5BD12E" w14:textId="77777777" w:rsidR="002C2D5C" w:rsidRPr="002C2D5C" w:rsidRDefault="002C2D5C" w:rsidP="002C2D5C">
      <w:pPr>
        <w:pStyle w:val="BodyText"/>
      </w:pPr>
    </w:p>
    <w:p w14:paraId="1091FEC2" w14:textId="77777777" w:rsidR="002C2D5C" w:rsidRPr="00833692" w:rsidRDefault="002C2D5C" w:rsidP="00A82210">
      <w:pPr>
        <w:pStyle w:val="ListNumber"/>
        <w:numPr>
          <w:ilvl w:val="0"/>
          <w:numId w:val="0"/>
        </w:numPr>
        <w:ind w:left="425"/>
      </w:pPr>
    </w:p>
    <w:p w14:paraId="4BE721FB" w14:textId="77777777" w:rsidR="002C2D5C" w:rsidRDefault="002C2D5C" w:rsidP="002C2D5C">
      <w:pPr>
        <w:pStyle w:val="BodyText"/>
        <w:jc w:val="both"/>
      </w:pPr>
    </w:p>
    <w:p w14:paraId="7D0F7B4A" w14:textId="77777777" w:rsidR="002C2D5C" w:rsidRDefault="002C2D5C" w:rsidP="002C2D5C">
      <w:pPr>
        <w:pStyle w:val="Appendix"/>
        <w:jc w:val="both"/>
      </w:pPr>
      <w:bookmarkStart w:id="222" w:name="_Toc503789804"/>
      <w:bookmarkStart w:id="223" w:name="_Toc505778377"/>
      <w:bookmarkStart w:id="224" w:name="_Toc2690291"/>
      <w:bookmarkStart w:id="225" w:name="_Ref4490838"/>
      <w:bookmarkStart w:id="226" w:name="_Ref4490843"/>
      <w:bookmarkStart w:id="227" w:name="_Toc64026829"/>
      <w:r>
        <w:t xml:space="preserve">: </w:t>
      </w:r>
      <w:bookmarkEnd w:id="222"/>
      <w:bookmarkEnd w:id="223"/>
      <w:r>
        <w:t>Calculation of Affordability Thresholds</w:t>
      </w:r>
      <w:bookmarkEnd w:id="224"/>
      <w:bookmarkEnd w:id="225"/>
      <w:bookmarkEnd w:id="226"/>
      <w:bookmarkEnd w:id="227"/>
    </w:p>
    <w:p w14:paraId="1B1743FE" w14:textId="5EB6DFE6" w:rsidR="00173C13" w:rsidRPr="00A827A5" w:rsidRDefault="00173C13" w:rsidP="00173C13">
      <w:pPr>
        <w:pStyle w:val="Appendixheading2"/>
        <w:jc w:val="both"/>
      </w:pPr>
      <w:bookmarkStart w:id="228" w:name="_Toc64026830"/>
      <w:r>
        <w:t>Assessment geography</w:t>
      </w:r>
      <w:bookmarkEnd w:id="228"/>
    </w:p>
    <w:p w14:paraId="5864520D" w14:textId="19B4DBDB" w:rsidR="00173C13" w:rsidRDefault="00173C13" w:rsidP="00A82210">
      <w:pPr>
        <w:pStyle w:val="ListNumber"/>
      </w:pPr>
      <w:r>
        <w:t>As noted in the Tenure and Affordability chapter above, affordability thresholds can only be calculated on the basis</w:t>
      </w:r>
      <w:r w:rsidR="00703761">
        <w:t xml:space="preserve"> of data on incomes across the Neighbourhood P</w:t>
      </w:r>
      <w:r>
        <w:t xml:space="preserve">lan area. Such data is available at MSOA level but not at the level of neighbourhood plan areas. </w:t>
      </w:r>
    </w:p>
    <w:p w14:paraId="0CE816F7" w14:textId="48DC7FBD" w:rsidR="00A4686E" w:rsidRPr="00CC364C" w:rsidRDefault="00173C13" w:rsidP="00663265">
      <w:pPr>
        <w:pStyle w:val="ListNumber"/>
      </w:pPr>
      <w:r>
        <w:t>As such, when calculating affordability thresholds, an MSOA needs to be selected th</w:t>
      </w:r>
      <w:r w:rsidR="00E160BD">
        <w:t>at is a best-fit proxy for the Neighbourhood P</w:t>
      </w:r>
      <w:r>
        <w:t xml:space="preserve">lan area. In the case of </w:t>
      </w:r>
      <w:r w:rsidR="0015105E">
        <w:t>Weymouth</w:t>
      </w:r>
      <w:r>
        <w:t xml:space="preserve">, it is considered that </w:t>
      </w:r>
      <w:r w:rsidR="00A4686E">
        <w:t xml:space="preserve">a combination of seven </w:t>
      </w:r>
      <w:r>
        <w:t>MSOA</w:t>
      </w:r>
      <w:r w:rsidR="00A4686E">
        <w:t>s (Weymouth and Portland 001-007)</w:t>
      </w:r>
      <w:r>
        <w:t xml:space="preserve"> is the closest rea</w:t>
      </w:r>
      <w:r w:rsidR="00E160BD">
        <w:t>listic proxy for the Neighbourhood P</w:t>
      </w:r>
      <w:r>
        <w:t>lan area boundary, and as such, this is the assessment geography that has been selected</w:t>
      </w:r>
      <w:r w:rsidR="00A4686E" w:rsidRPr="00BD3E88">
        <w:t xml:space="preserve"> throughout as a statistical proxy for the NA boundary and which can be interrogated for data from both the 2001 and the 2011 Censuses:</w:t>
      </w:r>
    </w:p>
    <w:tbl>
      <w:tblPr>
        <w:tblW w:w="0" w:type="auto"/>
        <w:tblInd w:w="426" w:type="dxa"/>
        <w:tblCellMar>
          <w:left w:w="0" w:type="dxa"/>
          <w:right w:w="0" w:type="dxa"/>
        </w:tblCellMar>
        <w:tblLook w:val="04A0" w:firstRow="1" w:lastRow="0" w:firstColumn="1" w:lastColumn="0" w:noHBand="0" w:noVBand="1"/>
      </w:tblPr>
      <w:tblGrid>
        <w:gridCol w:w="3827"/>
        <w:gridCol w:w="1856"/>
      </w:tblGrid>
      <w:tr w:rsidR="00A4686E" w:rsidRPr="00CC364C" w14:paraId="1DE0877D" w14:textId="77777777" w:rsidTr="00663265">
        <w:trPr>
          <w:trHeight w:val="315"/>
        </w:trPr>
        <w:tc>
          <w:tcPr>
            <w:tcW w:w="3827" w:type="dxa"/>
            <w:noWrap/>
            <w:tcMar>
              <w:top w:w="0" w:type="dxa"/>
              <w:left w:w="108" w:type="dxa"/>
              <w:bottom w:w="0" w:type="dxa"/>
              <w:right w:w="108" w:type="dxa"/>
            </w:tcMar>
            <w:hideMark/>
          </w:tcPr>
          <w:p w14:paraId="3EC5ADDE" w14:textId="77777777" w:rsidR="00A4686E" w:rsidRPr="00CC364C" w:rsidRDefault="00A4686E" w:rsidP="00663265">
            <w:pPr>
              <w:pStyle w:val="ListBullet"/>
            </w:pPr>
            <w:r w:rsidRPr="00CC364C">
              <w:t>Weymouth and Portland 001</w:t>
            </w:r>
            <w:r>
              <w:t>:</w:t>
            </w:r>
          </w:p>
        </w:tc>
        <w:tc>
          <w:tcPr>
            <w:tcW w:w="1856" w:type="dxa"/>
            <w:noWrap/>
            <w:tcMar>
              <w:top w:w="0" w:type="dxa"/>
              <w:left w:w="108" w:type="dxa"/>
              <w:bottom w:w="0" w:type="dxa"/>
              <w:right w:w="108" w:type="dxa"/>
            </w:tcMar>
            <w:hideMark/>
          </w:tcPr>
          <w:p w14:paraId="40ABE798" w14:textId="77777777" w:rsidR="00A4686E" w:rsidRPr="00CC364C" w:rsidRDefault="00A4686E" w:rsidP="00663265">
            <w:pPr>
              <w:rPr>
                <w:sz w:val="18"/>
                <w:szCs w:val="18"/>
              </w:rPr>
            </w:pPr>
            <w:r w:rsidRPr="00CC364C">
              <w:rPr>
                <w:sz w:val="18"/>
                <w:szCs w:val="18"/>
              </w:rPr>
              <w:t>E02004281</w:t>
            </w:r>
          </w:p>
        </w:tc>
      </w:tr>
      <w:tr w:rsidR="00A4686E" w:rsidRPr="00CC364C" w14:paraId="34299387" w14:textId="77777777" w:rsidTr="00663265">
        <w:trPr>
          <w:trHeight w:val="300"/>
        </w:trPr>
        <w:tc>
          <w:tcPr>
            <w:tcW w:w="3827" w:type="dxa"/>
            <w:noWrap/>
            <w:tcMar>
              <w:top w:w="0" w:type="dxa"/>
              <w:left w:w="108" w:type="dxa"/>
              <w:bottom w:w="0" w:type="dxa"/>
              <w:right w:w="108" w:type="dxa"/>
            </w:tcMar>
            <w:hideMark/>
          </w:tcPr>
          <w:p w14:paraId="49BA9502" w14:textId="77777777" w:rsidR="00A4686E" w:rsidRPr="00CC364C" w:rsidRDefault="00A4686E" w:rsidP="00663265">
            <w:pPr>
              <w:pStyle w:val="ListBullet"/>
            </w:pPr>
            <w:r w:rsidRPr="00CC364C">
              <w:t>Weymouth and Portland 002</w:t>
            </w:r>
            <w:r>
              <w:t>:</w:t>
            </w:r>
          </w:p>
        </w:tc>
        <w:tc>
          <w:tcPr>
            <w:tcW w:w="1856" w:type="dxa"/>
            <w:noWrap/>
            <w:tcMar>
              <w:top w:w="0" w:type="dxa"/>
              <w:left w:w="108" w:type="dxa"/>
              <w:bottom w:w="0" w:type="dxa"/>
              <w:right w:w="108" w:type="dxa"/>
            </w:tcMar>
            <w:hideMark/>
          </w:tcPr>
          <w:p w14:paraId="15F35C53" w14:textId="77777777" w:rsidR="00A4686E" w:rsidRPr="00CC364C" w:rsidRDefault="00A4686E" w:rsidP="00663265">
            <w:pPr>
              <w:rPr>
                <w:sz w:val="18"/>
                <w:szCs w:val="18"/>
              </w:rPr>
            </w:pPr>
            <w:r w:rsidRPr="00CC364C">
              <w:rPr>
                <w:sz w:val="18"/>
                <w:szCs w:val="18"/>
              </w:rPr>
              <w:t>E02004282</w:t>
            </w:r>
          </w:p>
        </w:tc>
      </w:tr>
      <w:tr w:rsidR="00A4686E" w:rsidRPr="00CC364C" w14:paraId="6C661C49" w14:textId="77777777" w:rsidTr="00663265">
        <w:trPr>
          <w:trHeight w:val="300"/>
        </w:trPr>
        <w:tc>
          <w:tcPr>
            <w:tcW w:w="3827" w:type="dxa"/>
            <w:noWrap/>
            <w:tcMar>
              <w:top w:w="0" w:type="dxa"/>
              <w:left w:w="108" w:type="dxa"/>
              <w:bottom w:w="0" w:type="dxa"/>
              <w:right w:w="108" w:type="dxa"/>
            </w:tcMar>
            <w:hideMark/>
          </w:tcPr>
          <w:p w14:paraId="3A0D5E70" w14:textId="77777777" w:rsidR="00A4686E" w:rsidRPr="00CC364C" w:rsidRDefault="00A4686E" w:rsidP="00663265">
            <w:pPr>
              <w:pStyle w:val="ListBullet"/>
            </w:pPr>
            <w:r w:rsidRPr="00CC364C">
              <w:t>Weymouth and Portland 003</w:t>
            </w:r>
            <w:r>
              <w:t>:</w:t>
            </w:r>
          </w:p>
        </w:tc>
        <w:tc>
          <w:tcPr>
            <w:tcW w:w="1856" w:type="dxa"/>
            <w:noWrap/>
            <w:tcMar>
              <w:top w:w="0" w:type="dxa"/>
              <w:left w:w="108" w:type="dxa"/>
              <w:bottom w:w="0" w:type="dxa"/>
              <w:right w:w="108" w:type="dxa"/>
            </w:tcMar>
            <w:hideMark/>
          </w:tcPr>
          <w:p w14:paraId="2DECB19A" w14:textId="77777777" w:rsidR="00A4686E" w:rsidRPr="00CC364C" w:rsidRDefault="00A4686E" w:rsidP="00663265">
            <w:pPr>
              <w:rPr>
                <w:sz w:val="18"/>
                <w:szCs w:val="18"/>
              </w:rPr>
            </w:pPr>
            <w:r w:rsidRPr="00CC364C">
              <w:rPr>
                <w:sz w:val="18"/>
                <w:szCs w:val="18"/>
              </w:rPr>
              <w:t>E02004283</w:t>
            </w:r>
          </w:p>
        </w:tc>
      </w:tr>
      <w:tr w:rsidR="00A4686E" w:rsidRPr="00CC364C" w14:paraId="7373C6DE" w14:textId="77777777" w:rsidTr="00663265">
        <w:trPr>
          <w:trHeight w:val="300"/>
        </w:trPr>
        <w:tc>
          <w:tcPr>
            <w:tcW w:w="3827" w:type="dxa"/>
            <w:noWrap/>
            <w:tcMar>
              <w:top w:w="0" w:type="dxa"/>
              <w:left w:w="108" w:type="dxa"/>
              <w:bottom w:w="0" w:type="dxa"/>
              <w:right w:w="108" w:type="dxa"/>
            </w:tcMar>
            <w:hideMark/>
          </w:tcPr>
          <w:p w14:paraId="24581754" w14:textId="77777777" w:rsidR="00A4686E" w:rsidRPr="00CC364C" w:rsidRDefault="00A4686E" w:rsidP="00663265">
            <w:pPr>
              <w:pStyle w:val="ListBullet"/>
            </w:pPr>
            <w:r w:rsidRPr="00CC364C">
              <w:t>Weymouth and Portland 004</w:t>
            </w:r>
            <w:r>
              <w:t>:</w:t>
            </w:r>
          </w:p>
        </w:tc>
        <w:tc>
          <w:tcPr>
            <w:tcW w:w="1856" w:type="dxa"/>
            <w:noWrap/>
            <w:tcMar>
              <w:top w:w="0" w:type="dxa"/>
              <w:left w:w="108" w:type="dxa"/>
              <w:bottom w:w="0" w:type="dxa"/>
              <w:right w:w="108" w:type="dxa"/>
            </w:tcMar>
            <w:hideMark/>
          </w:tcPr>
          <w:p w14:paraId="6283C043" w14:textId="77777777" w:rsidR="00A4686E" w:rsidRPr="00CC364C" w:rsidRDefault="00A4686E" w:rsidP="00663265">
            <w:pPr>
              <w:rPr>
                <w:sz w:val="18"/>
                <w:szCs w:val="18"/>
              </w:rPr>
            </w:pPr>
            <w:r w:rsidRPr="00CC364C">
              <w:rPr>
                <w:sz w:val="18"/>
                <w:szCs w:val="18"/>
              </w:rPr>
              <w:t>E02004284</w:t>
            </w:r>
          </w:p>
        </w:tc>
      </w:tr>
      <w:tr w:rsidR="00A4686E" w:rsidRPr="00CC364C" w14:paraId="60A54E40" w14:textId="77777777" w:rsidTr="00663265">
        <w:trPr>
          <w:trHeight w:val="300"/>
        </w:trPr>
        <w:tc>
          <w:tcPr>
            <w:tcW w:w="3827" w:type="dxa"/>
            <w:noWrap/>
            <w:tcMar>
              <w:top w:w="0" w:type="dxa"/>
              <w:left w:w="108" w:type="dxa"/>
              <w:bottom w:w="0" w:type="dxa"/>
              <w:right w:w="108" w:type="dxa"/>
            </w:tcMar>
            <w:hideMark/>
          </w:tcPr>
          <w:p w14:paraId="3BA12E81" w14:textId="77777777" w:rsidR="00A4686E" w:rsidRPr="00CC364C" w:rsidRDefault="00A4686E" w:rsidP="00663265">
            <w:pPr>
              <w:pStyle w:val="ListBullet"/>
            </w:pPr>
            <w:r w:rsidRPr="00CC364C">
              <w:t>Weymouth and Portland 005</w:t>
            </w:r>
            <w:r>
              <w:t>:</w:t>
            </w:r>
          </w:p>
        </w:tc>
        <w:tc>
          <w:tcPr>
            <w:tcW w:w="1856" w:type="dxa"/>
            <w:noWrap/>
            <w:tcMar>
              <w:top w:w="0" w:type="dxa"/>
              <w:left w:w="108" w:type="dxa"/>
              <w:bottom w:w="0" w:type="dxa"/>
              <w:right w:w="108" w:type="dxa"/>
            </w:tcMar>
            <w:hideMark/>
          </w:tcPr>
          <w:p w14:paraId="3181EE72" w14:textId="77777777" w:rsidR="00A4686E" w:rsidRPr="00CC364C" w:rsidRDefault="00A4686E" w:rsidP="00663265">
            <w:pPr>
              <w:rPr>
                <w:sz w:val="18"/>
                <w:szCs w:val="18"/>
              </w:rPr>
            </w:pPr>
            <w:r w:rsidRPr="00CC364C">
              <w:rPr>
                <w:sz w:val="18"/>
                <w:szCs w:val="18"/>
              </w:rPr>
              <w:t>E02004285</w:t>
            </w:r>
          </w:p>
        </w:tc>
      </w:tr>
      <w:tr w:rsidR="00A4686E" w:rsidRPr="00CC364C" w14:paraId="7C91CF9E" w14:textId="77777777" w:rsidTr="00663265">
        <w:trPr>
          <w:trHeight w:val="300"/>
        </w:trPr>
        <w:tc>
          <w:tcPr>
            <w:tcW w:w="3827" w:type="dxa"/>
            <w:noWrap/>
            <w:tcMar>
              <w:top w:w="0" w:type="dxa"/>
              <w:left w:w="108" w:type="dxa"/>
              <w:bottom w:w="0" w:type="dxa"/>
              <w:right w:w="108" w:type="dxa"/>
            </w:tcMar>
            <w:hideMark/>
          </w:tcPr>
          <w:p w14:paraId="40B7C7FD" w14:textId="77777777" w:rsidR="00A4686E" w:rsidRPr="00CC364C" w:rsidRDefault="00A4686E" w:rsidP="00663265">
            <w:pPr>
              <w:pStyle w:val="ListBullet"/>
            </w:pPr>
            <w:r w:rsidRPr="00CC364C">
              <w:t>Weymouth and Portland 006</w:t>
            </w:r>
            <w:r>
              <w:t>:</w:t>
            </w:r>
          </w:p>
        </w:tc>
        <w:tc>
          <w:tcPr>
            <w:tcW w:w="1856" w:type="dxa"/>
            <w:noWrap/>
            <w:tcMar>
              <w:top w:w="0" w:type="dxa"/>
              <w:left w:w="108" w:type="dxa"/>
              <w:bottom w:w="0" w:type="dxa"/>
              <w:right w:w="108" w:type="dxa"/>
            </w:tcMar>
            <w:hideMark/>
          </w:tcPr>
          <w:p w14:paraId="65800D79" w14:textId="77777777" w:rsidR="00A4686E" w:rsidRPr="00CC364C" w:rsidRDefault="00A4686E" w:rsidP="00663265">
            <w:pPr>
              <w:rPr>
                <w:sz w:val="18"/>
                <w:szCs w:val="18"/>
              </w:rPr>
            </w:pPr>
            <w:r w:rsidRPr="00CC364C">
              <w:rPr>
                <w:sz w:val="18"/>
                <w:szCs w:val="18"/>
              </w:rPr>
              <w:t>E02004286</w:t>
            </w:r>
          </w:p>
        </w:tc>
      </w:tr>
      <w:tr w:rsidR="00A4686E" w:rsidRPr="00CC364C" w14:paraId="4B214C2D" w14:textId="77777777" w:rsidTr="00663265">
        <w:trPr>
          <w:trHeight w:val="300"/>
        </w:trPr>
        <w:tc>
          <w:tcPr>
            <w:tcW w:w="3827" w:type="dxa"/>
            <w:noWrap/>
            <w:tcMar>
              <w:top w:w="0" w:type="dxa"/>
              <w:left w:w="108" w:type="dxa"/>
              <w:bottom w:w="0" w:type="dxa"/>
              <w:right w:w="108" w:type="dxa"/>
            </w:tcMar>
            <w:hideMark/>
          </w:tcPr>
          <w:p w14:paraId="00D6D97D" w14:textId="77777777" w:rsidR="00A4686E" w:rsidRPr="00CC364C" w:rsidRDefault="00A4686E" w:rsidP="00663265">
            <w:pPr>
              <w:pStyle w:val="ListBullet"/>
              <w:tabs>
                <w:tab w:val="clear" w:pos="1145"/>
                <w:tab w:val="num" w:pos="740"/>
              </w:tabs>
            </w:pPr>
            <w:r w:rsidRPr="00CC364C">
              <w:t>Weymouth and Portland 007</w:t>
            </w:r>
            <w:r>
              <w:t>:</w:t>
            </w:r>
          </w:p>
        </w:tc>
        <w:tc>
          <w:tcPr>
            <w:tcW w:w="1856" w:type="dxa"/>
            <w:noWrap/>
            <w:tcMar>
              <w:top w:w="0" w:type="dxa"/>
              <w:left w:w="108" w:type="dxa"/>
              <w:bottom w:w="0" w:type="dxa"/>
              <w:right w:w="108" w:type="dxa"/>
            </w:tcMar>
            <w:hideMark/>
          </w:tcPr>
          <w:p w14:paraId="4D6231E7" w14:textId="77777777" w:rsidR="00A4686E" w:rsidRPr="00CC364C" w:rsidRDefault="00A4686E" w:rsidP="00663265">
            <w:pPr>
              <w:rPr>
                <w:sz w:val="18"/>
                <w:szCs w:val="18"/>
              </w:rPr>
            </w:pPr>
            <w:r w:rsidRPr="00CC364C">
              <w:rPr>
                <w:sz w:val="18"/>
                <w:szCs w:val="18"/>
              </w:rPr>
              <w:t>E02004287</w:t>
            </w:r>
          </w:p>
        </w:tc>
      </w:tr>
    </w:tbl>
    <w:p w14:paraId="16FD8B41" w14:textId="41D8E136" w:rsidR="00173C13" w:rsidRDefault="00173C13" w:rsidP="00A82210">
      <w:pPr>
        <w:pStyle w:val="ListNumber"/>
      </w:pPr>
      <w:r>
        <w:t>A map of</w:t>
      </w:r>
      <w:r w:rsidR="00A4686E">
        <w:t xml:space="preserve"> the seven </w:t>
      </w:r>
      <w:r>
        <w:t>MSOA</w:t>
      </w:r>
      <w:r w:rsidR="00A4686E">
        <w:t>s</w:t>
      </w:r>
      <w:r>
        <w:t xml:space="preserve"> appears below. </w:t>
      </w:r>
    </w:p>
    <w:p w14:paraId="20DCD730" w14:textId="4D5A7A45" w:rsidR="00173C13" w:rsidRDefault="00A4686E" w:rsidP="00173C13">
      <w:pPr>
        <w:pStyle w:val="Caption"/>
        <w:jc w:val="both"/>
        <w:rPr>
          <w:sz w:val="18"/>
          <w:szCs w:val="18"/>
        </w:rPr>
      </w:pPr>
      <w:bookmarkStart w:id="229" w:name="_Ref8279737"/>
      <w:r>
        <w:rPr>
          <w:sz w:val="18"/>
          <w:szCs w:val="18"/>
        </w:rPr>
        <w:t>Figure</w:t>
      </w:r>
      <w:r w:rsidR="00173C13" w:rsidRPr="00965CE9">
        <w:rPr>
          <w:sz w:val="18"/>
          <w:szCs w:val="18"/>
        </w:rPr>
        <w:t xml:space="preserve"> </w:t>
      </w:r>
      <w:r w:rsidR="00BA4C32">
        <w:rPr>
          <w:sz w:val="18"/>
          <w:szCs w:val="18"/>
        </w:rPr>
        <w:fldChar w:fldCharType="begin"/>
      </w:r>
      <w:r w:rsidR="00BA4C32">
        <w:rPr>
          <w:sz w:val="18"/>
          <w:szCs w:val="18"/>
        </w:rPr>
        <w:instrText xml:space="preserve"> STYLEREF 1 \s </w:instrText>
      </w:r>
      <w:r w:rsidR="00BA4C32">
        <w:rPr>
          <w:sz w:val="18"/>
          <w:szCs w:val="18"/>
        </w:rPr>
        <w:fldChar w:fldCharType="separate"/>
      </w:r>
      <w:r w:rsidR="00A73A45">
        <w:rPr>
          <w:noProof/>
          <w:sz w:val="18"/>
          <w:szCs w:val="18"/>
        </w:rPr>
        <w:t>7</w:t>
      </w:r>
      <w:r w:rsidR="00BA4C32">
        <w:rPr>
          <w:sz w:val="18"/>
          <w:szCs w:val="18"/>
        </w:rPr>
        <w:fldChar w:fldCharType="end"/>
      </w:r>
      <w:r w:rsidR="00BA4C32">
        <w:rPr>
          <w:sz w:val="18"/>
          <w:szCs w:val="18"/>
        </w:rPr>
        <w:noBreakHyphen/>
      </w:r>
      <w:r w:rsidR="00BA4C32">
        <w:rPr>
          <w:sz w:val="18"/>
          <w:szCs w:val="18"/>
        </w:rPr>
        <w:fldChar w:fldCharType="begin"/>
      </w:r>
      <w:r w:rsidR="00BA4C32">
        <w:rPr>
          <w:sz w:val="18"/>
          <w:szCs w:val="18"/>
        </w:rPr>
        <w:instrText xml:space="preserve"> SEQ Table \* ARABIC \s 1 </w:instrText>
      </w:r>
      <w:r w:rsidR="00BA4C32">
        <w:rPr>
          <w:sz w:val="18"/>
          <w:szCs w:val="18"/>
        </w:rPr>
        <w:fldChar w:fldCharType="separate"/>
      </w:r>
      <w:r w:rsidR="00A73A45">
        <w:rPr>
          <w:noProof/>
          <w:sz w:val="18"/>
          <w:szCs w:val="18"/>
        </w:rPr>
        <w:t>2</w:t>
      </w:r>
      <w:r w:rsidR="00BA4C32">
        <w:rPr>
          <w:sz w:val="18"/>
          <w:szCs w:val="18"/>
        </w:rPr>
        <w:fldChar w:fldCharType="end"/>
      </w:r>
      <w:bookmarkEnd w:id="229"/>
      <w:r w:rsidR="00173C13">
        <w:rPr>
          <w:sz w:val="18"/>
          <w:szCs w:val="18"/>
          <w:lang w:val="en-US"/>
        </w:rPr>
        <w:t xml:space="preserve">: </w:t>
      </w:r>
      <w:r>
        <w:rPr>
          <w:sz w:val="18"/>
          <w:szCs w:val="18"/>
          <w:lang w:val="en-US"/>
        </w:rPr>
        <w:t xml:space="preserve">Seven </w:t>
      </w:r>
      <w:r w:rsidR="00173C13">
        <w:rPr>
          <w:sz w:val="18"/>
          <w:szCs w:val="18"/>
          <w:lang w:val="en-US"/>
        </w:rPr>
        <w:t>MSOA</w:t>
      </w:r>
      <w:r>
        <w:rPr>
          <w:sz w:val="18"/>
          <w:szCs w:val="18"/>
          <w:lang w:val="en-US"/>
        </w:rPr>
        <w:t xml:space="preserve">s </w:t>
      </w:r>
      <w:r w:rsidR="00173C13">
        <w:rPr>
          <w:sz w:val="18"/>
          <w:szCs w:val="18"/>
          <w:lang w:val="en-US"/>
        </w:rPr>
        <w:t>used as a best-</w:t>
      </w:r>
      <w:r w:rsidR="00E160BD">
        <w:rPr>
          <w:sz w:val="18"/>
          <w:szCs w:val="18"/>
          <w:lang w:val="en-US"/>
        </w:rPr>
        <w:t xml:space="preserve">fit geographical proxy for the </w:t>
      </w:r>
      <w:r>
        <w:rPr>
          <w:sz w:val="18"/>
          <w:szCs w:val="18"/>
          <w:lang w:val="en-US"/>
        </w:rPr>
        <w:t xml:space="preserve">Weymouth </w:t>
      </w:r>
      <w:r w:rsidR="00E160BD">
        <w:rPr>
          <w:sz w:val="18"/>
          <w:szCs w:val="18"/>
          <w:lang w:val="en-US"/>
        </w:rPr>
        <w:t>Neighbourhood P</w:t>
      </w:r>
      <w:r w:rsidR="00173C13">
        <w:rPr>
          <w:sz w:val="18"/>
          <w:szCs w:val="18"/>
          <w:lang w:val="en-US"/>
        </w:rPr>
        <w:t>lan area</w:t>
      </w:r>
      <w:r w:rsidR="00BA353E">
        <w:rPr>
          <w:sz w:val="18"/>
          <w:szCs w:val="18"/>
          <w:lang w:val="en-US"/>
        </w:rPr>
        <w:t xml:space="preserve"> (pink shading)</w:t>
      </w:r>
    </w:p>
    <w:p w14:paraId="06103F06" w14:textId="77777777" w:rsidR="00BA353E" w:rsidRDefault="00BA353E" w:rsidP="00A82210">
      <w:pPr>
        <w:pStyle w:val="ListNumber"/>
        <w:numPr>
          <w:ilvl w:val="0"/>
          <w:numId w:val="0"/>
        </w:numPr>
        <w:ind w:left="425"/>
      </w:pPr>
      <w:r>
        <w:rPr>
          <w:noProof/>
        </w:rPr>
        <w:drawing>
          <wp:inline distT="0" distB="0" distL="0" distR="0" wp14:anchorId="460D6D76" wp14:editId="2000B3E1">
            <wp:extent cx="4236720" cy="558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6720" cy="5588000"/>
                    </a:xfrm>
                    <a:prstGeom prst="rect">
                      <a:avLst/>
                    </a:prstGeom>
                    <a:noFill/>
                    <a:ln>
                      <a:noFill/>
                    </a:ln>
                  </pic:spPr>
                </pic:pic>
              </a:graphicData>
            </a:graphic>
          </wp:inline>
        </w:drawing>
      </w:r>
    </w:p>
    <w:p w14:paraId="3C5FBB49" w14:textId="4B0E7E4D" w:rsidR="00173C13" w:rsidRPr="00173C13" w:rsidRDefault="00173C13" w:rsidP="00A82210">
      <w:pPr>
        <w:pStyle w:val="ListNumber"/>
        <w:numPr>
          <w:ilvl w:val="0"/>
          <w:numId w:val="0"/>
        </w:numPr>
        <w:ind w:left="425"/>
      </w:pPr>
      <w:r>
        <w:t>Source: ONS</w:t>
      </w:r>
    </w:p>
    <w:p w14:paraId="55F9AF4E" w14:textId="77777777" w:rsidR="002C2D5C" w:rsidRPr="00A827A5" w:rsidRDefault="002C2D5C" w:rsidP="002C2D5C">
      <w:pPr>
        <w:pStyle w:val="Appendixheading2"/>
        <w:jc w:val="both"/>
      </w:pPr>
      <w:bookmarkStart w:id="230" w:name="_Toc2690292"/>
      <w:bookmarkStart w:id="231" w:name="_Toc64026831"/>
      <w:r w:rsidRPr="00A827A5">
        <w:t>Market housing</w:t>
      </w:r>
      <w:bookmarkEnd w:id="230"/>
      <w:bookmarkEnd w:id="231"/>
    </w:p>
    <w:p w14:paraId="66C7330D" w14:textId="6FF76287" w:rsidR="002C2D5C" w:rsidRPr="003128DC" w:rsidRDefault="003128DC" w:rsidP="00A82210">
      <w:pPr>
        <w:pStyle w:val="ListNumber"/>
      </w:pPr>
      <w:r w:rsidRPr="003128DC">
        <w:t>Market dwellings are accessible to p</w:t>
      </w:r>
      <w:r w:rsidR="002C2D5C" w:rsidRPr="003128DC">
        <w:t>eople on higher incomes</w:t>
      </w:r>
      <w:r w:rsidRPr="003128DC">
        <w:t>. C</w:t>
      </w:r>
      <w:r w:rsidR="002C2D5C" w:rsidRPr="003128DC">
        <w:t xml:space="preserve">hoices </w:t>
      </w:r>
      <w:r w:rsidRPr="003128DC">
        <w:t xml:space="preserve">in the housing market are </w:t>
      </w:r>
      <w:r w:rsidR="002C2D5C" w:rsidRPr="003128DC">
        <w:t>driven principally</w:t>
      </w:r>
      <w:r w:rsidRPr="003128DC">
        <w:t xml:space="preserve"> by </w:t>
      </w:r>
      <w:r w:rsidR="002C2D5C" w:rsidRPr="003128DC">
        <w:t>spend</w:t>
      </w:r>
      <w:r w:rsidRPr="003128DC">
        <w:t>ing power, life stage, and</w:t>
      </w:r>
      <w:r w:rsidR="002C2D5C" w:rsidRPr="003128DC">
        <w:t xml:space="preserve"> personal taste. </w:t>
      </w:r>
    </w:p>
    <w:p w14:paraId="4B89F7FA" w14:textId="77777777" w:rsidR="003128DC" w:rsidRDefault="002C2D5C" w:rsidP="00A82210">
      <w:pPr>
        <w:pStyle w:val="ListNumber"/>
      </w:pPr>
      <w:r w:rsidRPr="003128DC">
        <w:t xml:space="preserve">The operation of the </w:t>
      </w:r>
      <w:r w:rsidR="003128DC">
        <w:t xml:space="preserve">housing </w:t>
      </w:r>
      <w:r w:rsidRPr="003128DC">
        <w:t>market is</w:t>
      </w:r>
      <w:r w:rsidR="003128DC">
        <w:t>, in most circumstances,</w:t>
      </w:r>
      <w:r w:rsidRPr="003128DC">
        <w:t xml:space="preserve"> the best means of addressing the demand for different types of housing for sale. </w:t>
      </w:r>
      <w:r w:rsidR="003128DC" w:rsidRPr="003128DC">
        <w:t xml:space="preserve">For this reason, </w:t>
      </w:r>
      <w:r w:rsidR="003128DC">
        <w:t>i</w:t>
      </w:r>
      <w:r w:rsidRPr="003128DC">
        <w:t xml:space="preserve">t is important </w:t>
      </w:r>
      <w:r w:rsidR="003128DC">
        <w:t xml:space="preserve">that </w:t>
      </w:r>
      <w:r w:rsidRPr="003128DC">
        <w:t>planning policy does not place unnecessary burdens on the market preventing its ability to respo</w:t>
      </w:r>
      <w:r w:rsidR="003128DC">
        <w:t xml:space="preserve">nd to demand, because this is </w:t>
      </w:r>
      <w:r w:rsidRPr="003128DC">
        <w:t>the principal way equilib</w:t>
      </w:r>
      <w:r w:rsidR="003128DC">
        <w:t xml:space="preserve">rium is achieved in the </w:t>
      </w:r>
      <w:r w:rsidRPr="003128DC">
        <w:t xml:space="preserve">market and </w:t>
      </w:r>
      <w:r w:rsidR="003128DC">
        <w:t xml:space="preserve">thus </w:t>
      </w:r>
      <w:r w:rsidRPr="003128DC">
        <w:t xml:space="preserve">house price growth kept in check. </w:t>
      </w:r>
    </w:p>
    <w:p w14:paraId="02FE7343" w14:textId="2E530E7A" w:rsidR="002C2D5C" w:rsidRPr="003128DC" w:rsidRDefault="003128DC" w:rsidP="00A82210">
      <w:pPr>
        <w:pStyle w:val="ListNumber"/>
      </w:pPr>
      <w:r>
        <w:t>In this sense</w:t>
      </w:r>
      <w:r w:rsidR="002C2D5C" w:rsidRPr="003128DC">
        <w:t xml:space="preserve">, the notion of </w:t>
      </w:r>
      <w:r>
        <w:t xml:space="preserve">development </w:t>
      </w:r>
      <w:r w:rsidR="002C2D5C" w:rsidRPr="003128DC">
        <w:t xml:space="preserve">viability is essential. It is important not to deter development in the context of clear housing need; to do so will not only frustrate the delivery of new housing but also may deprive the community of resources for infrastructure improvements. </w:t>
      </w:r>
    </w:p>
    <w:p w14:paraId="76987647" w14:textId="68E4847C" w:rsidR="002C2D5C" w:rsidRPr="003128DC" w:rsidRDefault="002C2D5C" w:rsidP="00A82210">
      <w:pPr>
        <w:pStyle w:val="ListNumber"/>
      </w:pPr>
      <w:r w:rsidRPr="003128DC">
        <w:t xml:space="preserve">To determine affordability in market housing, </w:t>
      </w:r>
      <w:r w:rsidR="002B4670">
        <w:t>the assessment</w:t>
      </w:r>
      <w:r w:rsidR="002B4670" w:rsidRPr="003128DC">
        <w:t xml:space="preserve"> </w:t>
      </w:r>
      <w:r w:rsidR="003128DC">
        <w:t>consider</w:t>
      </w:r>
      <w:r w:rsidR="002B4670">
        <w:t>s</w:t>
      </w:r>
      <w:r w:rsidR="003128DC">
        <w:t xml:space="preserve"> two primary indicators:</w:t>
      </w:r>
      <w:r w:rsidRPr="003128DC">
        <w:t xml:space="preserve"> income thresholds, which denote the maximum share of a family’s income that should be spent on accommodation costs, and purchase thresholds, which denote the stand</w:t>
      </w:r>
      <w:r w:rsidR="003128DC">
        <w:t>ard household income required</w:t>
      </w:r>
      <w:r w:rsidRPr="003128DC">
        <w:t xml:space="preserve"> to access mortgage products.</w:t>
      </w:r>
    </w:p>
    <w:p w14:paraId="51FE70B0" w14:textId="77777777" w:rsidR="002C2D5C" w:rsidRPr="00A827A5" w:rsidRDefault="002C2D5C" w:rsidP="002C2D5C">
      <w:pPr>
        <w:pStyle w:val="Appendixheading2"/>
        <w:keepNext w:val="0"/>
        <w:keepLines w:val="0"/>
        <w:widowControl w:val="0"/>
        <w:numPr>
          <w:ilvl w:val="2"/>
          <w:numId w:val="21"/>
        </w:numPr>
        <w:jc w:val="both"/>
      </w:pPr>
      <w:bookmarkStart w:id="232" w:name="_Toc2690293"/>
      <w:bookmarkStart w:id="233" w:name="_Toc64026832"/>
      <w:r w:rsidRPr="00A827A5">
        <w:t>Market sales</w:t>
      </w:r>
      <w:bookmarkEnd w:id="232"/>
      <w:bookmarkEnd w:id="233"/>
    </w:p>
    <w:p w14:paraId="4857C333" w14:textId="642C04E5" w:rsidR="003128DC" w:rsidRDefault="002C2D5C" w:rsidP="00A82210">
      <w:pPr>
        <w:pStyle w:val="ListNumber"/>
      </w:pPr>
      <w:r w:rsidRPr="003128DC">
        <w:t xml:space="preserve">The starting point for calculating </w:t>
      </w:r>
      <w:r w:rsidR="003128DC">
        <w:t xml:space="preserve">the affordability of a </w:t>
      </w:r>
      <w:r w:rsidRPr="003128DC">
        <w:t>dwelling</w:t>
      </w:r>
      <w:r w:rsidR="003128DC">
        <w:t xml:space="preserve"> for sale (i.e. the </w:t>
      </w:r>
      <w:r w:rsidR="00DA2F87">
        <w:t>purchase threshold</w:t>
      </w:r>
      <w:r w:rsidR="003128DC">
        <w:t>)</w:t>
      </w:r>
      <w:r w:rsidRPr="003128DC">
        <w:t xml:space="preserve"> </w:t>
      </w:r>
      <w:r w:rsidR="003128DC">
        <w:t>from the perspective of a specific</w:t>
      </w:r>
      <w:r w:rsidRPr="003128DC">
        <w:t xml:space="preserve"> househol</w:t>
      </w:r>
      <w:r w:rsidR="003128DC">
        <w:t xml:space="preserve">d is the loan to </w:t>
      </w:r>
      <w:r w:rsidR="00434080">
        <w:t>income</w:t>
      </w:r>
      <w:r w:rsidR="003128DC">
        <w:t xml:space="preserve"> ratio </w:t>
      </w:r>
      <w:r w:rsidRPr="003128DC">
        <w:t xml:space="preserve">which most mortgage companies are prepared to agree. This </w:t>
      </w:r>
      <w:r w:rsidR="003128DC">
        <w:t xml:space="preserve">ratio </w:t>
      </w:r>
      <w:r w:rsidRPr="003128DC">
        <w:t xml:space="preserve">is conservatively estimated to be 3.5. </w:t>
      </w:r>
    </w:p>
    <w:p w14:paraId="2935FA43" w14:textId="0A2EAB75" w:rsidR="002C2D5C" w:rsidRDefault="003128DC" w:rsidP="00A82210">
      <w:pPr>
        <w:pStyle w:val="ListNumber"/>
      </w:pPr>
      <w:r>
        <w:t>T</w:t>
      </w:r>
      <w:r w:rsidR="002C2D5C" w:rsidRPr="003128DC">
        <w:t xml:space="preserve">o produce a more accurate assessment of affordability, both the savings available for a deposit and the equity in the home from which the buyer is moving (if not a first-time buyer) should be taken into account. However, this data is not available for </w:t>
      </w:r>
      <w:r w:rsidR="0015105E">
        <w:t>Weymouth</w:t>
      </w:r>
      <w:r>
        <w:t>. As such, a reasonable</w:t>
      </w:r>
      <w:r w:rsidR="002C2D5C" w:rsidRPr="003128DC">
        <w:t xml:space="preserve"> assumption is therefore made that a 10% purchase deposit is available to the prospective buyer. </w:t>
      </w:r>
    </w:p>
    <w:p w14:paraId="036078A4" w14:textId="709BC362" w:rsidR="00F468DD" w:rsidRPr="00F468DD" w:rsidRDefault="00F468DD" w:rsidP="00A82210">
      <w:pPr>
        <w:pStyle w:val="ListNumber"/>
      </w:pPr>
      <w:r w:rsidRPr="00F468DD">
        <w:t>The value of an entry-level dwelling is considered the best representation of the segment of market housing most likely to be accessible to those on lower incomes.</w:t>
      </w:r>
      <w:r w:rsidRPr="003128DC">
        <w:rPr>
          <w:rStyle w:val="FootnoteReference"/>
          <w:rFonts w:ascii="Arial" w:hAnsi="Arial"/>
          <w:color w:val="000000"/>
        </w:rPr>
        <w:footnoteReference w:id="72"/>
      </w:r>
      <w:r w:rsidRPr="00F468DD">
        <w:t xml:space="preserve"> The value of an entry level dwelling used here is the lower quartile average house price from sales data from Land Registry over the year 201</w:t>
      </w:r>
      <w:r w:rsidR="00974888">
        <w:t>9</w:t>
      </w:r>
      <w:r w:rsidRPr="00F468DD">
        <w:t>.</w:t>
      </w:r>
    </w:p>
    <w:p w14:paraId="16CEAC84" w14:textId="77777777" w:rsidR="002C2D5C" w:rsidRPr="003128DC" w:rsidRDefault="002C2D5C" w:rsidP="00A82210">
      <w:pPr>
        <w:pStyle w:val="ListNumber"/>
      </w:pPr>
      <w:r w:rsidRPr="003128DC">
        <w:t>The calculation is therefore:</w:t>
      </w:r>
    </w:p>
    <w:p w14:paraId="11BD0512" w14:textId="54912F16" w:rsidR="002C2D5C" w:rsidRPr="003128DC" w:rsidRDefault="002C2D5C" w:rsidP="00F06B2A">
      <w:pPr>
        <w:pStyle w:val="ListBullet"/>
      </w:pPr>
      <w:r w:rsidRPr="003128DC">
        <w:t xml:space="preserve">Value of an ‘entry level dwelling’ = </w:t>
      </w:r>
      <w:r w:rsidR="003128DC">
        <w:t>£</w:t>
      </w:r>
      <w:r w:rsidR="00BA353E">
        <w:t>176,625</w:t>
      </w:r>
      <w:r w:rsidR="00947C8A">
        <w:t xml:space="preserve"> </w:t>
      </w:r>
    </w:p>
    <w:p w14:paraId="1B783119" w14:textId="61C4B835" w:rsidR="002C2D5C" w:rsidRPr="003128DC" w:rsidRDefault="002C2D5C" w:rsidP="00F06B2A">
      <w:pPr>
        <w:pStyle w:val="ListBullet"/>
      </w:pPr>
      <w:r w:rsidRPr="003128DC">
        <w:t xml:space="preserve">Purchase deposit = </w:t>
      </w:r>
      <w:r w:rsidR="003128DC">
        <w:t>£</w:t>
      </w:r>
      <w:r w:rsidR="00BA353E">
        <w:t>17,663</w:t>
      </w:r>
      <w:r w:rsidRPr="003128DC">
        <w:t xml:space="preserve"> @10% of value</w:t>
      </w:r>
      <w:r w:rsidR="003128DC">
        <w:t>;</w:t>
      </w:r>
    </w:p>
    <w:p w14:paraId="6D005057" w14:textId="155ECF11" w:rsidR="002C2D5C" w:rsidRPr="003128DC" w:rsidRDefault="002C2D5C" w:rsidP="00F06B2A">
      <w:pPr>
        <w:pStyle w:val="ListBullet"/>
      </w:pPr>
      <w:r w:rsidRPr="003128DC">
        <w:t xml:space="preserve">Value of dwelling for mortgage purposes = </w:t>
      </w:r>
      <w:r w:rsidR="003128DC">
        <w:t>£</w:t>
      </w:r>
      <w:r w:rsidR="00BA353E">
        <w:t>158,963</w:t>
      </w:r>
      <w:r w:rsidR="003128DC">
        <w:t>;</w:t>
      </w:r>
    </w:p>
    <w:p w14:paraId="401705A7" w14:textId="17C125CD" w:rsidR="002C2D5C" w:rsidRPr="003128DC" w:rsidRDefault="002C2D5C" w:rsidP="00F06B2A">
      <w:pPr>
        <w:pStyle w:val="ListBullet"/>
      </w:pPr>
      <w:r w:rsidRPr="003128DC">
        <w:t xml:space="preserve">Loan to </w:t>
      </w:r>
      <w:r w:rsidR="00434080">
        <w:t>incom</w:t>
      </w:r>
      <w:r w:rsidRPr="003128DC">
        <w:t xml:space="preserve">e ratio = value of </w:t>
      </w:r>
      <w:r w:rsidR="00BC5A06">
        <w:t xml:space="preserve">dwelling for </w:t>
      </w:r>
      <w:r w:rsidRPr="003128DC">
        <w:t>mortgage</w:t>
      </w:r>
      <w:r w:rsidR="00BC5A06">
        <w:t xml:space="preserve"> purposes divided by </w:t>
      </w:r>
      <w:r w:rsidR="00BC5A06" w:rsidRPr="003128DC">
        <w:t>3.5</w:t>
      </w:r>
      <w:r w:rsidR="003128DC">
        <w:t>;</w:t>
      </w:r>
    </w:p>
    <w:p w14:paraId="4E40AECF" w14:textId="5140BBC6" w:rsidR="002C2D5C" w:rsidRPr="003128DC" w:rsidRDefault="002C2D5C" w:rsidP="00F06B2A">
      <w:pPr>
        <w:pStyle w:val="ListBullet"/>
      </w:pPr>
      <w:r w:rsidRPr="003128DC">
        <w:t xml:space="preserve">Purchase threshold = </w:t>
      </w:r>
      <w:r w:rsidR="003128DC">
        <w:t>£</w:t>
      </w:r>
      <w:r w:rsidR="00BA353E">
        <w:t>45,418</w:t>
      </w:r>
      <w:r w:rsidR="008D6BB7">
        <w:t>.</w:t>
      </w:r>
    </w:p>
    <w:p w14:paraId="227F1E8E" w14:textId="77777777" w:rsidR="002C2D5C" w:rsidRPr="00A827A5" w:rsidRDefault="002C2D5C" w:rsidP="002C2D5C">
      <w:pPr>
        <w:pStyle w:val="Appendixheading2"/>
        <w:keepNext w:val="0"/>
        <w:keepLines w:val="0"/>
        <w:widowControl w:val="0"/>
        <w:numPr>
          <w:ilvl w:val="2"/>
          <w:numId w:val="21"/>
        </w:numPr>
        <w:jc w:val="both"/>
      </w:pPr>
      <w:bookmarkStart w:id="234" w:name="_Toc2690294"/>
      <w:bookmarkStart w:id="235" w:name="_Toc64026833"/>
      <w:r w:rsidRPr="00A827A5">
        <w:t>Private Rented Sector (PRS)</w:t>
      </w:r>
      <w:bookmarkEnd w:id="234"/>
      <w:bookmarkEnd w:id="235"/>
    </w:p>
    <w:p w14:paraId="01C401E2" w14:textId="59D51261" w:rsidR="002C2D5C" w:rsidRPr="003128DC" w:rsidRDefault="002C2D5C" w:rsidP="00A82210">
      <w:pPr>
        <w:pStyle w:val="ListNumber"/>
      </w:pPr>
      <w:r w:rsidRPr="003128DC">
        <w:t>Income thresholds are used to calculate the affordabil</w:t>
      </w:r>
      <w:r w:rsidR="003128DC">
        <w:t>ity of rented and affordable housing</w:t>
      </w:r>
      <w:r w:rsidRPr="003128DC">
        <w:t xml:space="preserve"> tenures. Households are deemed able to afford </w:t>
      </w:r>
      <w:r w:rsidR="003128DC">
        <w:t xml:space="preserve">a </w:t>
      </w:r>
      <w:r w:rsidRPr="003128DC">
        <w:t>private rent</w:t>
      </w:r>
      <w:r w:rsidR="002B4670">
        <w:t>ed</w:t>
      </w:r>
      <w:r w:rsidRPr="003128DC">
        <w:t xml:space="preserve"> </w:t>
      </w:r>
      <w:r w:rsidR="003128DC">
        <w:t xml:space="preserve">property </w:t>
      </w:r>
      <w:r w:rsidRPr="003128DC">
        <w:t xml:space="preserve">if the lower quartile private rent does not exceed 30% </w:t>
      </w:r>
      <w:r w:rsidR="003128DC">
        <w:t>of gross household income</w:t>
      </w:r>
      <w:r w:rsidRPr="003128DC">
        <w:t xml:space="preserve">. </w:t>
      </w:r>
    </w:p>
    <w:p w14:paraId="5788FBD7" w14:textId="221BF120" w:rsidR="002C2D5C" w:rsidRPr="003128DC" w:rsidRDefault="003128DC" w:rsidP="00A82210">
      <w:pPr>
        <w:pStyle w:val="ListNumber"/>
      </w:pPr>
      <w:r>
        <w:t xml:space="preserve">It is assumed that </w:t>
      </w:r>
      <w:r w:rsidR="002C2D5C" w:rsidRPr="003128DC">
        <w:t>lower quartile private rent</w:t>
      </w:r>
      <w:r>
        <w:t xml:space="preserve"> equates to the average rent paid </w:t>
      </w:r>
      <w:r w:rsidR="002C2D5C" w:rsidRPr="003128DC">
        <w:t xml:space="preserve">in </w:t>
      </w:r>
      <w:r w:rsidR="00450792">
        <w:t xml:space="preserve">the </w:t>
      </w:r>
      <w:r w:rsidR="00E160BD">
        <w:t>Neighbourhood P</w:t>
      </w:r>
      <w:r w:rsidR="005F50BC" w:rsidRPr="003128DC">
        <w:t>lan area</w:t>
      </w:r>
      <w:r w:rsidR="002C2D5C" w:rsidRPr="003128DC">
        <w:t xml:space="preserve"> for a two-bedroom dwelling (enough </w:t>
      </w:r>
      <w:r w:rsidR="008D6BB7">
        <w:t xml:space="preserve">living </w:t>
      </w:r>
      <w:r w:rsidR="002C2D5C" w:rsidRPr="003128DC">
        <w:t xml:space="preserve">space for two or three individuals). In order to </w:t>
      </w:r>
      <w:r w:rsidR="005F50BC" w:rsidRPr="003128DC">
        <w:t xml:space="preserve">be in </w:t>
      </w:r>
      <w:r w:rsidR="002C2D5C" w:rsidRPr="003128DC">
        <w:t>conform</w:t>
      </w:r>
      <w:r w:rsidR="005F50BC" w:rsidRPr="003128DC">
        <w:t>ity</w:t>
      </w:r>
      <w:r w:rsidR="002C2D5C" w:rsidRPr="003128DC">
        <w:t xml:space="preserve"> with the Government guidance on overcrowding,</w:t>
      </w:r>
      <w:r w:rsidR="002C2D5C" w:rsidRPr="003128DC">
        <w:rPr>
          <w:rStyle w:val="FootnoteReference"/>
          <w:rFonts w:ascii="Arial" w:hAnsi="Arial"/>
          <w:lang w:val="en-GB"/>
        </w:rPr>
        <w:footnoteReference w:id="73"/>
      </w:r>
      <w:r w:rsidR="002C2D5C" w:rsidRPr="003128DC">
        <w:t xml:space="preserve"> such a home would require three habitable rooms (a fl</w:t>
      </w:r>
      <w:r w:rsidR="008D6BB7">
        <w:t>at or house with two bedrooms).</w:t>
      </w:r>
    </w:p>
    <w:p w14:paraId="3D323E8D" w14:textId="7684E75B" w:rsidR="002C2D5C" w:rsidRPr="008D6BB7" w:rsidRDefault="008D6BB7" w:rsidP="00A82210">
      <w:pPr>
        <w:pStyle w:val="ListNumber"/>
      </w:pPr>
      <w:r>
        <w:t>T</w:t>
      </w:r>
      <w:r w:rsidR="002C2D5C" w:rsidRPr="008D6BB7">
        <w:t xml:space="preserve">he property website </w:t>
      </w:r>
      <w:hyperlink r:id="rId29" w:history="1">
        <w:r w:rsidR="002C2D5C" w:rsidRPr="008D6BB7">
          <w:rPr>
            <w:rStyle w:val="Hyperlink"/>
            <w:lang w:val="en-GB"/>
          </w:rPr>
          <w:t>Home.co.uk</w:t>
        </w:r>
      </w:hyperlink>
      <w:r w:rsidR="002C2D5C" w:rsidRPr="008D6BB7">
        <w:t xml:space="preserve"> </w:t>
      </w:r>
      <w:r>
        <w:t>shows</w:t>
      </w:r>
      <w:r w:rsidR="002C2D5C" w:rsidRPr="008D6BB7">
        <w:t xml:space="preserve"> rental values for property in </w:t>
      </w:r>
      <w:r w:rsidR="00450792">
        <w:t xml:space="preserve">the </w:t>
      </w:r>
      <w:r w:rsidR="00E160BD">
        <w:t>Neighbourhood P</w:t>
      </w:r>
      <w:r w:rsidR="005F50BC" w:rsidRPr="008D6BB7">
        <w:t>lan area</w:t>
      </w:r>
      <w:r w:rsidR="002C2D5C" w:rsidRPr="008D6BB7">
        <w:t xml:space="preserve">. The best available </w:t>
      </w:r>
      <w:r w:rsidR="00BA353E">
        <w:t xml:space="preserve">average rent </w:t>
      </w:r>
      <w:r w:rsidR="002C2D5C" w:rsidRPr="008D6BB7">
        <w:t xml:space="preserve">data is derived from properties available for rent within the </w:t>
      </w:r>
      <w:r w:rsidR="00BA353E">
        <w:t>DT3 and DT4</w:t>
      </w:r>
      <w:r w:rsidR="002C2D5C" w:rsidRPr="008D6BB7">
        <w:t xml:space="preserve"> postcode area</w:t>
      </w:r>
      <w:r w:rsidR="00BA353E">
        <w:t>s</w:t>
      </w:r>
      <w:r w:rsidR="002C2D5C" w:rsidRPr="008D6BB7">
        <w:t xml:space="preserve">, which covers a larger area than </w:t>
      </w:r>
      <w:r w:rsidR="005F50BC" w:rsidRPr="008D6BB7">
        <w:t>the Plan area</w:t>
      </w:r>
      <w:r>
        <w:t xml:space="preserve"> itself but can be used as a reasonable proxy for it</w:t>
      </w:r>
      <w:r w:rsidR="002C2D5C" w:rsidRPr="008D6BB7">
        <w:t xml:space="preserve">. Moreover, </w:t>
      </w:r>
      <w:r>
        <w:t xml:space="preserve">because </w:t>
      </w:r>
      <w:r w:rsidR="002C2D5C" w:rsidRPr="008D6BB7">
        <w:t xml:space="preserve">it forms a larger geography with a greater number of </w:t>
      </w:r>
      <w:r>
        <w:t xml:space="preserve">rental </w:t>
      </w:r>
      <w:r w:rsidR="002C2D5C" w:rsidRPr="008D6BB7">
        <w:t>properties</w:t>
      </w:r>
      <w:r>
        <w:t xml:space="preserve"> offered,</w:t>
      </w:r>
      <w:r w:rsidR="002C2D5C" w:rsidRPr="008D6BB7">
        <w:t xml:space="preserve"> the larger sample size is likely to generate more robust findings. </w:t>
      </w:r>
      <w:r w:rsidR="0017608F">
        <w:t>However, for determining average rent for an entry level (2 bedroom) property, the area of search had to be expanded even further, to cover the five postcodes of DT1-DT5 (covering Dorchester, Weymouth and Por</w:t>
      </w:r>
      <w:r w:rsidR="00A23F1C">
        <w:t>t</w:t>
      </w:r>
      <w:r w:rsidR="0017608F">
        <w:t>land), to ensure that a reasonably sized sample was available.</w:t>
      </w:r>
    </w:p>
    <w:p w14:paraId="4B9670BA" w14:textId="313D0AFA" w:rsidR="002C2D5C" w:rsidRPr="008D6BB7" w:rsidRDefault="0017608F" w:rsidP="00A82210">
      <w:pPr>
        <w:pStyle w:val="ListNumber"/>
      </w:pPr>
      <w:r>
        <w:t>Even using this larger area, a</w:t>
      </w:r>
      <w:r w:rsidR="008D6BB7">
        <w:t xml:space="preserve">ccording to </w:t>
      </w:r>
      <w:hyperlink r:id="rId30" w:history="1">
        <w:r w:rsidR="008D6BB7" w:rsidRPr="00180999">
          <w:rPr>
            <w:rStyle w:val="Hyperlink"/>
            <w:lang w:val="en-GB"/>
          </w:rPr>
          <w:t>home.co.uk</w:t>
        </w:r>
      </w:hyperlink>
      <w:r w:rsidR="008D6BB7">
        <w:t xml:space="preserve">, </w:t>
      </w:r>
      <w:r w:rsidR="002C2D5C" w:rsidRPr="008D6BB7">
        <w:t>there are</w:t>
      </w:r>
      <w:r>
        <w:t xml:space="preserve"> only 8</w:t>
      </w:r>
      <w:r w:rsidR="002C2D5C" w:rsidRPr="008D6BB7">
        <w:t xml:space="preserve"> two-bed propert</w:t>
      </w:r>
      <w:r w:rsidR="008D6BB7">
        <w:t>ies currently listed for rent across</w:t>
      </w:r>
      <w:r w:rsidR="002C2D5C" w:rsidRPr="008D6BB7">
        <w:t xml:space="preserve"> </w:t>
      </w:r>
      <w:r>
        <w:t xml:space="preserve">the DT1-5 postcode areas. These properties are on offer for </w:t>
      </w:r>
      <w:r w:rsidR="002C2D5C" w:rsidRPr="008D6BB7">
        <w:t xml:space="preserve">an average </w:t>
      </w:r>
      <w:r>
        <w:t>rent</w:t>
      </w:r>
      <w:r w:rsidR="002C2D5C" w:rsidRPr="008D6BB7">
        <w:t xml:space="preserve"> of </w:t>
      </w:r>
      <w:r>
        <w:t>£848</w:t>
      </w:r>
      <w:r w:rsidR="002C2D5C" w:rsidRPr="008D6BB7">
        <w:t xml:space="preserve"> per </w:t>
      </w:r>
      <w:r w:rsidR="008D6BB7">
        <w:t xml:space="preserve">calendar </w:t>
      </w:r>
      <w:r w:rsidR="002C2D5C" w:rsidRPr="008D6BB7">
        <w:t>month.</w:t>
      </w:r>
    </w:p>
    <w:p w14:paraId="656F70AD" w14:textId="08222851" w:rsidR="002C2D5C" w:rsidRPr="008D6BB7" w:rsidRDefault="002C2D5C" w:rsidP="00A82210">
      <w:pPr>
        <w:pStyle w:val="ListNumber"/>
      </w:pPr>
      <w:r w:rsidRPr="008D6BB7">
        <w:t>It is possible to derive from this data the es</w:t>
      </w:r>
      <w:r w:rsidR="008D6BB7">
        <w:t>timated income threshold for private rental sector</w:t>
      </w:r>
      <w:r w:rsidRPr="008D6BB7">
        <w:t xml:space="preserve"> dwellings in </w:t>
      </w:r>
      <w:r w:rsidR="005F50BC" w:rsidRPr="008D6BB7">
        <w:t xml:space="preserve">the </w:t>
      </w:r>
      <w:r w:rsidR="00E160BD">
        <w:t>Neighbourhood</w:t>
      </w:r>
      <w:r w:rsidR="00E160BD" w:rsidRPr="008D6BB7">
        <w:t xml:space="preserve"> </w:t>
      </w:r>
      <w:r w:rsidR="005F50BC" w:rsidRPr="008D6BB7">
        <w:t>Plan area</w:t>
      </w:r>
      <w:r w:rsidRPr="008D6BB7">
        <w:t>; the calculation is therefore</w:t>
      </w:r>
      <w:r w:rsidR="008D6BB7">
        <w:t>:</w:t>
      </w:r>
    </w:p>
    <w:p w14:paraId="7F428645" w14:textId="48F201B5" w:rsidR="002C2D5C" w:rsidRPr="008D6BB7" w:rsidRDefault="002C2D5C" w:rsidP="00F06B2A">
      <w:pPr>
        <w:pStyle w:val="ListBullet"/>
      </w:pPr>
      <w:r w:rsidRPr="008D6BB7">
        <w:t xml:space="preserve">Annual </w:t>
      </w:r>
      <w:r w:rsidR="00947C8A">
        <w:t xml:space="preserve">entry-level </w:t>
      </w:r>
      <w:r w:rsidRPr="008D6BB7">
        <w:t xml:space="preserve">rent = </w:t>
      </w:r>
      <w:r w:rsidR="008D6BB7">
        <w:t>£</w:t>
      </w:r>
      <w:r w:rsidR="0017608F">
        <w:t>848</w:t>
      </w:r>
      <w:r w:rsidRPr="008D6BB7">
        <w:t xml:space="preserve"> x 12 = </w:t>
      </w:r>
      <w:r w:rsidR="008D6BB7">
        <w:t>£</w:t>
      </w:r>
      <w:r w:rsidR="0017608F">
        <w:t>10,178</w:t>
      </w:r>
      <w:r w:rsidR="008D6BB7">
        <w:t>;</w:t>
      </w:r>
    </w:p>
    <w:p w14:paraId="3625F4B6" w14:textId="396F2F26" w:rsidR="002C2D5C" w:rsidRPr="008D6BB7" w:rsidRDefault="002C2D5C" w:rsidP="00F06B2A">
      <w:pPr>
        <w:pStyle w:val="ListBullet"/>
      </w:pPr>
      <w:r w:rsidRPr="008D6BB7">
        <w:t xml:space="preserve">Multiplied by </w:t>
      </w:r>
      <w:r w:rsidR="00044EF5">
        <w:t>3.33</w:t>
      </w:r>
      <w:r w:rsidRPr="008D6BB7">
        <w:t xml:space="preserve"> </w:t>
      </w:r>
      <w:r w:rsidR="00BC5A06">
        <w:t xml:space="preserve">(so that no more than </w:t>
      </w:r>
      <w:r w:rsidR="00044EF5">
        <w:t>30</w:t>
      </w:r>
      <w:r w:rsidR="00BC5A06">
        <w:t xml:space="preserve">% of income is spent on rent) </w:t>
      </w:r>
      <w:r w:rsidRPr="008D6BB7">
        <w:t xml:space="preserve">= </w:t>
      </w:r>
      <w:r w:rsidR="008D6BB7">
        <w:t>£</w:t>
      </w:r>
      <w:r w:rsidR="0017608F">
        <w:t>33,929</w:t>
      </w:r>
      <w:r w:rsidR="008D6BB7">
        <w:t>;</w:t>
      </w:r>
    </w:p>
    <w:p w14:paraId="6929B678" w14:textId="69B40007" w:rsidR="002C2D5C" w:rsidRPr="008D6BB7" w:rsidRDefault="002C2D5C" w:rsidP="00F06B2A">
      <w:pPr>
        <w:pStyle w:val="ListBullet"/>
      </w:pPr>
      <w:r w:rsidRPr="008D6BB7">
        <w:t>Income t</w:t>
      </w:r>
      <w:r w:rsidR="008D6BB7">
        <w:t>hreshold (private rental sector</w:t>
      </w:r>
      <w:r w:rsidRPr="008D6BB7">
        <w:t xml:space="preserve">) = </w:t>
      </w:r>
      <w:r w:rsidR="008D6BB7">
        <w:t>£</w:t>
      </w:r>
      <w:r w:rsidR="0017608F">
        <w:t>33,929</w:t>
      </w:r>
      <w:r w:rsidR="008D6BB7">
        <w:t>.</w:t>
      </w:r>
    </w:p>
    <w:p w14:paraId="0049F6F5" w14:textId="7014D908" w:rsidR="002C2D5C" w:rsidRPr="008D6BB7" w:rsidRDefault="008D6BB7" w:rsidP="00A82210">
      <w:pPr>
        <w:pStyle w:val="ListNumber"/>
      </w:pPr>
      <w:r>
        <w:t xml:space="preserve">The </w:t>
      </w:r>
      <w:r w:rsidR="002C2D5C" w:rsidRPr="008D6BB7">
        <w:t xml:space="preserve">NPPF </w:t>
      </w:r>
      <w:r>
        <w:t>201</w:t>
      </w:r>
      <w:r w:rsidR="00974888">
        <w:t>9</w:t>
      </w:r>
      <w:r>
        <w:t xml:space="preserve"> </w:t>
      </w:r>
      <w:r w:rsidR="002C2D5C" w:rsidRPr="008D6BB7">
        <w:t>acknowledges that b</w:t>
      </w:r>
      <w:r>
        <w:t>uild-to-</w:t>
      </w:r>
      <w:r w:rsidR="002C2D5C" w:rsidRPr="008D6BB7">
        <w:t>rent dwellings have a role to play in providing affordable marke</w:t>
      </w:r>
      <w:r>
        <w:t>t homes and may meet affordable housing</w:t>
      </w:r>
      <w:r w:rsidR="002C2D5C" w:rsidRPr="008D6BB7">
        <w:t xml:space="preserve"> need where they include a component of affordable private r</w:t>
      </w:r>
      <w:r>
        <w:t>ent.</w:t>
      </w:r>
    </w:p>
    <w:p w14:paraId="3093D4EB" w14:textId="77777777" w:rsidR="002C2D5C" w:rsidRPr="00611D7D" w:rsidRDefault="002C2D5C" w:rsidP="002C2D5C">
      <w:pPr>
        <w:pStyle w:val="Appendixheading2"/>
        <w:jc w:val="both"/>
      </w:pPr>
      <w:bookmarkStart w:id="236" w:name="_Toc521492005"/>
      <w:bookmarkStart w:id="237" w:name="_Toc536797460"/>
      <w:bookmarkStart w:id="238" w:name="_Toc2690295"/>
      <w:bookmarkStart w:id="239" w:name="_Toc64026834"/>
      <w:r w:rsidRPr="00611D7D">
        <w:t>Affordable Housing</w:t>
      </w:r>
      <w:bookmarkEnd w:id="236"/>
      <w:bookmarkEnd w:id="237"/>
      <w:bookmarkEnd w:id="238"/>
      <w:bookmarkEnd w:id="239"/>
    </w:p>
    <w:p w14:paraId="325C12E4" w14:textId="738071AC" w:rsidR="002C2D5C" w:rsidRPr="008D6BB7" w:rsidRDefault="003135BC" w:rsidP="00A82210">
      <w:pPr>
        <w:pStyle w:val="ListNumber"/>
      </w:pPr>
      <w:r>
        <w:t xml:space="preserve">There are a range of tenures that constitute the </w:t>
      </w:r>
      <w:r w:rsidR="002C2D5C" w:rsidRPr="008D6BB7">
        <w:t>defini</w:t>
      </w:r>
      <w:r>
        <w:t xml:space="preserve">tion of Affordable Housing </w:t>
      </w:r>
      <w:r w:rsidR="002C2D5C" w:rsidRPr="008D6BB7">
        <w:t xml:space="preserve">within the </w:t>
      </w:r>
      <w:r>
        <w:t>201</w:t>
      </w:r>
      <w:r w:rsidR="001E1A68">
        <w:t>9</w:t>
      </w:r>
      <w:r>
        <w:t xml:space="preserve"> NPPF</w:t>
      </w:r>
      <w:r w:rsidR="002C2D5C" w:rsidRPr="008D6BB7">
        <w:t xml:space="preserve">: social rent and affordable rent, discounted market sales housing, and other affordable routes to home ownership. </w:t>
      </w:r>
    </w:p>
    <w:p w14:paraId="114D7CB0" w14:textId="11BAC3F8" w:rsidR="002C2D5C" w:rsidRPr="008D6BB7" w:rsidRDefault="003135BC" w:rsidP="00A82210">
      <w:pPr>
        <w:pStyle w:val="ListNumber"/>
      </w:pPr>
      <w:r>
        <w:t xml:space="preserve">This variety of </w:t>
      </w:r>
      <w:r w:rsidR="002C2D5C" w:rsidRPr="008D6BB7">
        <w:t>tenures reflects an ambition by the Government to provide a pathway to home ownership</w:t>
      </w:r>
      <w:r w:rsidR="00BC0F21">
        <w:t xml:space="preserve"> for more </w:t>
      </w:r>
      <w:r w:rsidR="002B4670">
        <w:t>households</w:t>
      </w:r>
      <w:r w:rsidR="002C2D5C" w:rsidRPr="008D6BB7">
        <w:t>, as well as introducing market principles into the provision of subsidised housing f</w:t>
      </w:r>
      <w:r w:rsidR="00BC0F21">
        <w:t>or rent. The aim is to divide affordable housing</w:t>
      </w:r>
      <w:r w:rsidR="002C2D5C" w:rsidRPr="008D6BB7">
        <w:t xml:space="preserve"> into a series of products designed to appeal to different sectors of the market and, by changing eligibility criteria, bring rents closer in line with people’s ability to pay.</w:t>
      </w:r>
    </w:p>
    <w:p w14:paraId="478C6C47" w14:textId="51E04C40" w:rsidR="002C2D5C" w:rsidRPr="008D6BB7" w:rsidRDefault="00BC0F21" w:rsidP="00A82210">
      <w:pPr>
        <w:pStyle w:val="ListNumber"/>
      </w:pPr>
      <w:r>
        <w:t>We consider each of the affordable housing</w:t>
      </w:r>
      <w:r w:rsidR="002C2D5C" w:rsidRPr="008D6BB7">
        <w:t xml:space="preserve"> tenures in turn.</w:t>
      </w:r>
    </w:p>
    <w:p w14:paraId="7122ACBE" w14:textId="77777777" w:rsidR="002C2D5C" w:rsidRPr="007D1CEB" w:rsidRDefault="002C2D5C" w:rsidP="002C2D5C">
      <w:pPr>
        <w:pStyle w:val="Appendixheading2"/>
        <w:keepNext w:val="0"/>
        <w:keepLines w:val="0"/>
        <w:widowControl w:val="0"/>
        <w:numPr>
          <w:ilvl w:val="2"/>
          <w:numId w:val="21"/>
        </w:numPr>
        <w:jc w:val="both"/>
      </w:pPr>
      <w:bookmarkStart w:id="240" w:name="_Toc2690296"/>
      <w:bookmarkStart w:id="241" w:name="_Toc64026835"/>
      <w:r w:rsidRPr="007D1CEB">
        <w:t xml:space="preserve">Social </w:t>
      </w:r>
      <w:r>
        <w:t>r</w:t>
      </w:r>
      <w:r w:rsidRPr="007D1CEB">
        <w:t>ent</w:t>
      </w:r>
      <w:bookmarkEnd w:id="240"/>
      <w:bookmarkEnd w:id="241"/>
    </w:p>
    <w:p w14:paraId="5A49E3C4" w14:textId="355D6D6E" w:rsidR="002C2D5C" w:rsidRPr="008D6BB7" w:rsidRDefault="002C2D5C" w:rsidP="00A82210">
      <w:pPr>
        <w:pStyle w:val="ListNumber"/>
      </w:pPr>
      <w:r w:rsidRPr="008D6BB7">
        <w:t xml:space="preserve">Rents in socially rented properties reflect a ‘formula rent’ based on a combination of individual property values and average earnings in each area, </w:t>
      </w:r>
      <w:r w:rsidR="00401071">
        <w:t>resulting in</w:t>
      </w:r>
      <w:r w:rsidRPr="008D6BB7">
        <w:t xml:space="preserve"> substantial discou</w:t>
      </w:r>
      <w:r w:rsidR="00401071">
        <w:t>nts to market rents. As such, this tenure</w:t>
      </w:r>
      <w:r w:rsidRPr="008D6BB7">
        <w:t xml:space="preserve"> is suitable for the needs of those on low incomes and is subject to strict eligibility criteria. </w:t>
      </w:r>
    </w:p>
    <w:p w14:paraId="5FB3C206" w14:textId="2FB4CDB5" w:rsidR="002C2D5C" w:rsidRDefault="002C2D5C" w:rsidP="00A82210">
      <w:pPr>
        <w:pStyle w:val="ListNumber"/>
      </w:pPr>
      <w:r w:rsidRPr="008D6BB7">
        <w:t>To determine social rent levels, data and statistical r</w:t>
      </w:r>
      <w:r w:rsidR="00705EE4">
        <w:t>eturn from Homes England</w:t>
      </w:r>
      <w:r w:rsidR="002B4670">
        <w:t xml:space="preserve"> is used</w:t>
      </w:r>
      <w:r w:rsidRPr="008D6BB7">
        <w:t>. This data is only available at the LA leve</w:t>
      </w:r>
      <w:r w:rsidR="00705EE4">
        <w:t xml:space="preserve">l so must act as a </w:t>
      </w:r>
      <w:r w:rsidRPr="008D6BB7">
        <w:t xml:space="preserve">proxy for </w:t>
      </w:r>
      <w:r w:rsidR="0015105E">
        <w:t>Weymouth</w:t>
      </w:r>
      <w:r w:rsidR="00705EE4">
        <w:t>.</w:t>
      </w:r>
      <w:r w:rsidRPr="008D6BB7">
        <w:t xml:space="preserve"> This data provides information about rents and the size and type of stock owned and managed by private registered providers and is presented </w:t>
      </w:r>
      <w:r w:rsidR="00705EE4">
        <w:t xml:space="preserve">for </w:t>
      </w:r>
      <w:r w:rsidR="00A23F1C">
        <w:t>the former Weymouth and Portland LA</w:t>
      </w:r>
      <w:r w:rsidR="00705EE4">
        <w:t xml:space="preserve"> </w:t>
      </w:r>
      <w:r w:rsidRPr="008D6BB7">
        <w:t xml:space="preserve">in the table below. </w:t>
      </w:r>
      <w:bookmarkStart w:id="242" w:name="_Ref516840448"/>
    </w:p>
    <w:p w14:paraId="1C6B6368" w14:textId="6FBF1572" w:rsidR="00637491" w:rsidRPr="00637491" w:rsidRDefault="00637491" w:rsidP="00A82210">
      <w:pPr>
        <w:pStyle w:val="ListNumber"/>
      </w:pPr>
      <w:r w:rsidRPr="00637491">
        <w:t xml:space="preserve">To determine the income needed, </w:t>
      </w:r>
      <w:r w:rsidR="002B4670">
        <w:t>it is</w:t>
      </w:r>
      <w:r w:rsidRPr="00637491">
        <w:t xml:space="preserve"> assum</w:t>
      </w:r>
      <w:r w:rsidR="002B4670">
        <w:t>ed</w:t>
      </w:r>
      <w:r w:rsidRPr="00637491">
        <w:t xml:space="preserve"> that no more than </w:t>
      </w:r>
      <w:r w:rsidR="00C607FA">
        <w:t>30</w:t>
      </w:r>
      <w:r w:rsidRPr="00637491">
        <w:t>% of income should be spent on rent.</w:t>
      </w:r>
      <w:r w:rsidR="00EF583D">
        <w:t xml:space="preserve"> This HNA uses two bedroom homes in the main report tables to illustrate affordability of this tenure. These homes are a good proxy for affordability in this tenure as they are typically the most numerous property size. </w:t>
      </w:r>
    </w:p>
    <w:bookmarkEnd w:id="242"/>
    <w:p w14:paraId="0E2748A2" w14:textId="77777777" w:rsidR="002C2D5C" w:rsidRPr="008D6BB7" w:rsidRDefault="002C2D5C" w:rsidP="002C2D5C">
      <w:pPr>
        <w:pStyle w:val="Caption"/>
        <w:jc w:val="both"/>
        <w:rPr>
          <w:sz w:val="18"/>
          <w:szCs w:val="18"/>
        </w:rPr>
      </w:pPr>
      <w:r w:rsidRPr="008D6BB7">
        <w:rPr>
          <w:sz w:val="18"/>
          <w:szCs w:val="18"/>
        </w:rPr>
        <w:t>Table A-1: Social rent levels (£)</w:t>
      </w:r>
    </w:p>
    <w:tbl>
      <w:tblPr>
        <w:tblW w:w="4791" w:type="pct"/>
        <w:tblInd w:w="421" w:type="dxa"/>
        <w:tblLayout w:type="fixed"/>
        <w:tblLook w:val="04A0" w:firstRow="1" w:lastRow="0" w:firstColumn="1" w:lastColumn="0" w:noHBand="0" w:noVBand="1"/>
      </w:tblPr>
      <w:tblGrid>
        <w:gridCol w:w="2191"/>
        <w:gridCol w:w="1446"/>
        <w:gridCol w:w="1444"/>
        <w:gridCol w:w="1444"/>
        <w:gridCol w:w="1444"/>
        <w:gridCol w:w="1444"/>
      </w:tblGrid>
      <w:tr w:rsidR="002C2D5C" w:rsidRPr="0017608F" w14:paraId="1A8032D3" w14:textId="77777777" w:rsidTr="00C378B2">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41A2A46" w14:textId="77777777" w:rsidR="002C2D5C" w:rsidRPr="0017608F" w:rsidRDefault="002C2D5C" w:rsidP="00C378B2">
            <w:pPr>
              <w:spacing w:line="240" w:lineRule="auto"/>
              <w:jc w:val="both"/>
              <w:rPr>
                <w:b/>
                <w:color w:val="FFFFFF" w:themeColor="background1"/>
                <w:sz w:val="18"/>
                <w:szCs w:val="18"/>
              </w:rPr>
            </w:pPr>
            <w:r w:rsidRPr="0017608F">
              <w:rPr>
                <w:b/>
                <w:color w:val="FFFFFF" w:themeColor="background1"/>
                <w:sz w:val="18"/>
                <w:szCs w:val="18"/>
              </w:rPr>
              <w:t>Size</w:t>
            </w:r>
          </w:p>
        </w:tc>
        <w:tc>
          <w:tcPr>
            <w:tcW w:w="768"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4AD4747B" w14:textId="77777777" w:rsidR="002C2D5C" w:rsidRPr="0017608F" w:rsidRDefault="002C2D5C" w:rsidP="00C378B2">
            <w:pPr>
              <w:spacing w:line="240" w:lineRule="auto"/>
              <w:jc w:val="both"/>
              <w:rPr>
                <w:b/>
                <w:color w:val="FFFFFF" w:themeColor="background1"/>
                <w:sz w:val="18"/>
                <w:szCs w:val="18"/>
              </w:rPr>
            </w:pPr>
            <w:r w:rsidRPr="0017608F">
              <w:rPr>
                <w:b/>
                <w:color w:val="FFFFFF" w:themeColor="background1"/>
                <w:sz w:val="18"/>
                <w:szCs w:val="18"/>
              </w:rPr>
              <w:t>1 bed</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53855D3D" w14:textId="77777777" w:rsidR="002C2D5C" w:rsidRPr="0017608F" w:rsidRDefault="002C2D5C" w:rsidP="00C378B2">
            <w:pPr>
              <w:spacing w:line="240" w:lineRule="auto"/>
              <w:jc w:val="both"/>
              <w:rPr>
                <w:b/>
                <w:color w:val="FFFFFF" w:themeColor="background1"/>
                <w:sz w:val="18"/>
                <w:szCs w:val="18"/>
              </w:rPr>
            </w:pPr>
            <w:r w:rsidRPr="0017608F">
              <w:rPr>
                <w:b/>
                <w:color w:val="FFFFFF" w:themeColor="background1"/>
                <w:sz w:val="18"/>
                <w:szCs w:val="18"/>
              </w:rPr>
              <w:t>2 beds</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3E56BCBC" w14:textId="77777777" w:rsidR="002C2D5C" w:rsidRPr="0017608F" w:rsidRDefault="002C2D5C" w:rsidP="00C378B2">
            <w:pPr>
              <w:spacing w:line="240" w:lineRule="auto"/>
              <w:jc w:val="both"/>
              <w:rPr>
                <w:b/>
                <w:color w:val="FFFFFF" w:themeColor="background1"/>
                <w:sz w:val="18"/>
                <w:szCs w:val="18"/>
              </w:rPr>
            </w:pPr>
            <w:r w:rsidRPr="0017608F">
              <w:rPr>
                <w:b/>
                <w:color w:val="FFFFFF" w:themeColor="background1"/>
                <w:sz w:val="18"/>
                <w:szCs w:val="18"/>
              </w:rPr>
              <w:t>3 beds</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20934E64" w14:textId="77777777" w:rsidR="002C2D5C" w:rsidRPr="0017608F" w:rsidRDefault="002C2D5C" w:rsidP="00C378B2">
            <w:pPr>
              <w:spacing w:line="240" w:lineRule="auto"/>
              <w:jc w:val="both"/>
              <w:rPr>
                <w:b/>
                <w:color w:val="FFFFFF" w:themeColor="background1"/>
                <w:sz w:val="18"/>
                <w:szCs w:val="18"/>
              </w:rPr>
            </w:pPr>
            <w:r w:rsidRPr="0017608F">
              <w:rPr>
                <w:b/>
                <w:color w:val="FFFFFF" w:themeColor="background1"/>
                <w:sz w:val="18"/>
                <w:szCs w:val="18"/>
              </w:rPr>
              <w:t>4 beds</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4E3320DA" w14:textId="77777777" w:rsidR="002C2D5C" w:rsidRPr="0017608F" w:rsidRDefault="002C2D5C" w:rsidP="00C378B2">
            <w:pPr>
              <w:spacing w:line="240" w:lineRule="auto"/>
              <w:jc w:val="both"/>
              <w:rPr>
                <w:b/>
                <w:color w:val="FFFFFF" w:themeColor="background1"/>
                <w:sz w:val="18"/>
                <w:szCs w:val="18"/>
              </w:rPr>
            </w:pPr>
            <w:r w:rsidRPr="0017608F">
              <w:rPr>
                <w:b/>
                <w:color w:val="FFFFFF" w:themeColor="background1"/>
                <w:sz w:val="18"/>
                <w:szCs w:val="18"/>
              </w:rPr>
              <w:t>All</w:t>
            </w:r>
          </w:p>
        </w:tc>
      </w:tr>
      <w:tr w:rsidR="0017608F" w:rsidRPr="0017608F" w14:paraId="7AA54811" w14:textId="77777777" w:rsidTr="00663265">
        <w:trPr>
          <w:trHeight w:val="300"/>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14:paraId="432A8425" w14:textId="2FD8A073" w:rsidR="0017608F" w:rsidRPr="0017608F" w:rsidRDefault="0017608F" w:rsidP="0017608F">
            <w:pPr>
              <w:spacing w:line="240" w:lineRule="auto"/>
              <w:jc w:val="both"/>
              <w:rPr>
                <w:color w:val="000000" w:themeColor="text1"/>
                <w:sz w:val="18"/>
                <w:szCs w:val="18"/>
              </w:rPr>
            </w:pPr>
            <w:r w:rsidRPr="0017608F">
              <w:rPr>
                <w:color w:val="000000" w:themeColor="text1"/>
                <w:sz w:val="18"/>
                <w:szCs w:val="18"/>
              </w:rPr>
              <w:t>Average social rent per week</w:t>
            </w:r>
          </w:p>
        </w:tc>
        <w:tc>
          <w:tcPr>
            <w:tcW w:w="768" w:type="pct"/>
            <w:tcBorders>
              <w:top w:val="nil"/>
              <w:left w:val="nil"/>
              <w:bottom w:val="single" w:sz="4" w:space="0" w:color="auto"/>
              <w:right w:val="single" w:sz="4" w:space="0" w:color="auto"/>
            </w:tcBorders>
            <w:shd w:val="clear" w:color="auto" w:fill="auto"/>
            <w:noWrap/>
            <w:vAlign w:val="center"/>
          </w:tcPr>
          <w:p w14:paraId="511C61D2" w14:textId="76456DC5" w:rsidR="0017608F" w:rsidRPr="0017608F" w:rsidRDefault="0017608F" w:rsidP="0017608F">
            <w:pPr>
              <w:spacing w:line="240" w:lineRule="auto"/>
              <w:jc w:val="both"/>
              <w:rPr>
                <w:color w:val="000000" w:themeColor="text1"/>
                <w:sz w:val="18"/>
                <w:szCs w:val="18"/>
              </w:rPr>
            </w:pPr>
            <w:r w:rsidRPr="0017608F">
              <w:rPr>
                <w:sz w:val="18"/>
                <w:szCs w:val="18"/>
              </w:rPr>
              <w:t>£82.87</w:t>
            </w:r>
          </w:p>
        </w:tc>
        <w:tc>
          <w:tcPr>
            <w:tcW w:w="767" w:type="pct"/>
            <w:tcBorders>
              <w:top w:val="nil"/>
              <w:left w:val="nil"/>
              <w:bottom w:val="single" w:sz="4" w:space="0" w:color="auto"/>
              <w:right w:val="single" w:sz="4" w:space="0" w:color="auto"/>
            </w:tcBorders>
            <w:shd w:val="clear" w:color="auto" w:fill="auto"/>
            <w:noWrap/>
            <w:vAlign w:val="center"/>
          </w:tcPr>
          <w:p w14:paraId="48E1A216" w14:textId="381A36FA" w:rsidR="0017608F" w:rsidRPr="0017608F" w:rsidRDefault="0017608F" w:rsidP="0017608F">
            <w:pPr>
              <w:spacing w:line="240" w:lineRule="auto"/>
              <w:jc w:val="both"/>
              <w:rPr>
                <w:color w:val="000000" w:themeColor="text1"/>
                <w:sz w:val="18"/>
                <w:szCs w:val="18"/>
              </w:rPr>
            </w:pPr>
            <w:r w:rsidRPr="0017608F">
              <w:rPr>
                <w:sz w:val="18"/>
                <w:szCs w:val="18"/>
              </w:rPr>
              <w:t>£94.51</w:t>
            </w:r>
          </w:p>
        </w:tc>
        <w:tc>
          <w:tcPr>
            <w:tcW w:w="767" w:type="pct"/>
            <w:tcBorders>
              <w:top w:val="nil"/>
              <w:left w:val="nil"/>
              <w:bottom w:val="single" w:sz="4" w:space="0" w:color="auto"/>
              <w:right w:val="single" w:sz="4" w:space="0" w:color="auto"/>
            </w:tcBorders>
            <w:shd w:val="clear" w:color="auto" w:fill="auto"/>
            <w:noWrap/>
            <w:vAlign w:val="center"/>
          </w:tcPr>
          <w:p w14:paraId="1313F5F2" w14:textId="21196519" w:rsidR="0017608F" w:rsidRPr="0017608F" w:rsidRDefault="0017608F" w:rsidP="0017608F">
            <w:pPr>
              <w:spacing w:line="240" w:lineRule="auto"/>
              <w:jc w:val="both"/>
              <w:rPr>
                <w:color w:val="000000" w:themeColor="text1"/>
                <w:sz w:val="18"/>
                <w:szCs w:val="18"/>
              </w:rPr>
            </w:pPr>
            <w:r w:rsidRPr="0017608F">
              <w:rPr>
                <w:sz w:val="18"/>
                <w:szCs w:val="18"/>
              </w:rPr>
              <w:t>£102.85</w:t>
            </w:r>
          </w:p>
        </w:tc>
        <w:tc>
          <w:tcPr>
            <w:tcW w:w="767" w:type="pct"/>
            <w:tcBorders>
              <w:top w:val="nil"/>
              <w:left w:val="nil"/>
              <w:bottom w:val="single" w:sz="4" w:space="0" w:color="auto"/>
              <w:right w:val="single" w:sz="4" w:space="0" w:color="auto"/>
            </w:tcBorders>
            <w:shd w:val="clear" w:color="auto" w:fill="auto"/>
            <w:noWrap/>
            <w:vAlign w:val="center"/>
          </w:tcPr>
          <w:p w14:paraId="7FCEF11E" w14:textId="7DB61B00" w:rsidR="0017608F" w:rsidRPr="0017608F" w:rsidRDefault="0017608F" w:rsidP="0017608F">
            <w:pPr>
              <w:spacing w:line="240" w:lineRule="auto"/>
              <w:jc w:val="both"/>
              <w:rPr>
                <w:color w:val="000000" w:themeColor="text1"/>
                <w:sz w:val="18"/>
                <w:szCs w:val="18"/>
              </w:rPr>
            </w:pPr>
            <w:r w:rsidRPr="0017608F">
              <w:rPr>
                <w:sz w:val="18"/>
                <w:szCs w:val="18"/>
              </w:rPr>
              <w:t>£110.89</w:t>
            </w:r>
          </w:p>
        </w:tc>
        <w:tc>
          <w:tcPr>
            <w:tcW w:w="767" w:type="pct"/>
            <w:tcBorders>
              <w:top w:val="nil"/>
              <w:left w:val="nil"/>
              <w:bottom w:val="single" w:sz="4" w:space="0" w:color="auto"/>
              <w:right w:val="single" w:sz="4" w:space="0" w:color="auto"/>
            </w:tcBorders>
            <w:shd w:val="clear" w:color="auto" w:fill="auto"/>
            <w:noWrap/>
            <w:vAlign w:val="center"/>
          </w:tcPr>
          <w:p w14:paraId="4105128B" w14:textId="24A71305" w:rsidR="0017608F" w:rsidRPr="0017608F" w:rsidRDefault="0017608F" w:rsidP="0017608F">
            <w:pPr>
              <w:spacing w:line="240" w:lineRule="auto"/>
              <w:jc w:val="both"/>
              <w:rPr>
                <w:b/>
                <w:bCs/>
                <w:color w:val="000000" w:themeColor="text1"/>
                <w:sz w:val="18"/>
                <w:szCs w:val="18"/>
              </w:rPr>
            </w:pPr>
            <w:r w:rsidRPr="0017608F">
              <w:rPr>
                <w:b/>
                <w:bCs/>
                <w:sz w:val="18"/>
                <w:szCs w:val="18"/>
              </w:rPr>
              <w:t>£95.88</w:t>
            </w:r>
          </w:p>
        </w:tc>
      </w:tr>
      <w:tr w:rsidR="0017608F" w:rsidRPr="0017608F" w14:paraId="58057A13" w14:textId="77777777" w:rsidTr="00663265">
        <w:trPr>
          <w:trHeight w:val="300"/>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14:paraId="31CAB1C2" w14:textId="77777777" w:rsidR="0017608F" w:rsidRPr="0017608F" w:rsidRDefault="0017608F" w:rsidP="0017608F">
            <w:pPr>
              <w:spacing w:line="240" w:lineRule="auto"/>
              <w:jc w:val="both"/>
              <w:rPr>
                <w:color w:val="000000" w:themeColor="text1"/>
                <w:sz w:val="18"/>
                <w:szCs w:val="18"/>
              </w:rPr>
            </w:pPr>
            <w:r w:rsidRPr="0017608F">
              <w:rPr>
                <w:color w:val="000000" w:themeColor="text1"/>
                <w:sz w:val="18"/>
                <w:szCs w:val="18"/>
              </w:rPr>
              <w:t>Annual average</w:t>
            </w:r>
          </w:p>
        </w:tc>
        <w:tc>
          <w:tcPr>
            <w:tcW w:w="768" w:type="pct"/>
            <w:tcBorders>
              <w:top w:val="nil"/>
              <w:left w:val="nil"/>
              <w:bottom w:val="single" w:sz="4" w:space="0" w:color="auto"/>
              <w:right w:val="single" w:sz="4" w:space="0" w:color="auto"/>
            </w:tcBorders>
            <w:shd w:val="clear" w:color="auto" w:fill="auto"/>
            <w:noWrap/>
            <w:vAlign w:val="center"/>
          </w:tcPr>
          <w:p w14:paraId="48122370" w14:textId="43876A85" w:rsidR="0017608F" w:rsidRPr="0017608F" w:rsidRDefault="0017608F" w:rsidP="0017608F">
            <w:pPr>
              <w:spacing w:line="240" w:lineRule="auto"/>
              <w:jc w:val="both"/>
              <w:rPr>
                <w:color w:val="000000" w:themeColor="text1"/>
                <w:sz w:val="18"/>
                <w:szCs w:val="18"/>
              </w:rPr>
            </w:pPr>
            <w:r w:rsidRPr="0017608F">
              <w:rPr>
                <w:sz w:val="18"/>
                <w:szCs w:val="18"/>
              </w:rPr>
              <w:t>£4,309</w:t>
            </w:r>
          </w:p>
        </w:tc>
        <w:tc>
          <w:tcPr>
            <w:tcW w:w="767" w:type="pct"/>
            <w:tcBorders>
              <w:top w:val="nil"/>
              <w:left w:val="nil"/>
              <w:bottom w:val="single" w:sz="4" w:space="0" w:color="auto"/>
              <w:right w:val="single" w:sz="4" w:space="0" w:color="auto"/>
            </w:tcBorders>
            <w:shd w:val="clear" w:color="auto" w:fill="auto"/>
            <w:noWrap/>
            <w:vAlign w:val="center"/>
          </w:tcPr>
          <w:p w14:paraId="7AE64FDC" w14:textId="68878EF8" w:rsidR="0017608F" w:rsidRPr="0017608F" w:rsidRDefault="0017608F" w:rsidP="0017608F">
            <w:pPr>
              <w:spacing w:line="240" w:lineRule="auto"/>
              <w:jc w:val="both"/>
              <w:rPr>
                <w:color w:val="000000" w:themeColor="text1"/>
                <w:sz w:val="18"/>
                <w:szCs w:val="18"/>
              </w:rPr>
            </w:pPr>
            <w:r w:rsidRPr="0017608F">
              <w:rPr>
                <w:sz w:val="18"/>
                <w:szCs w:val="18"/>
              </w:rPr>
              <w:t>£4,915</w:t>
            </w:r>
          </w:p>
        </w:tc>
        <w:tc>
          <w:tcPr>
            <w:tcW w:w="767" w:type="pct"/>
            <w:tcBorders>
              <w:top w:val="nil"/>
              <w:left w:val="nil"/>
              <w:bottom w:val="single" w:sz="4" w:space="0" w:color="auto"/>
              <w:right w:val="single" w:sz="4" w:space="0" w:color="auto"/>
            </w:tcBorders>
            <w:shd w:val="clear" w:color="auto" w:fill="auto"/>
            <w:noWrap/>
            <w:vAlign w:val="center"/>
          </w:tcPr>
          <w:p w14:paraId="70929265" w14:textId="02CFC374" w:rsidR="0017608F" w:rsidRPr="0017608F" w:rsidRDefault="0017608F" w:rsidP="0017608F">
            <w:pPr>
              <w:spacing w:line="240" w:lineRule="auto"/>
              <w:jc w:val="both"/>
              <w:rPr>
                <w:color w:val="000000" w:themeColor="text1"/>
                <w:sz w:val="18"/>
                <w:szCs w:val="18"/>
              </w:rPr>
            </w:pPr>
            <w:r w:rsidRPr="0017608F">
              <w:rPr>
                <w:sz w:val="18"/>
                <w:szCs w:val="18"/>
              </w:rPr>
              <w:t>£5,348</w:t>
            </w:r>
          </w:p>
        </w:tc>
        <w:tc>
          <w:tcPr>
            <w:tcW w:w="767" w:type="pct"/>
            <w:tcBorders>
              <w:top w:val="nil"/>
              <w:left w:val="nil"/>
              <w:bottom w:val="single" w:sz="4" w:space="0" w:color="auto"/>
              <w:right w:val="single" w:sz="4" w:space="0" w:color="auto"/>
            </w:tcBorders>
            <w:shd w:val="clear" w:color="auto" w:fill="auto"/>
            <w:noWrap/>
            <w:vAlign w:val="center"/>
          </w:tcPr>
          <w:p w14:paraId="4207270D" w14:textId="033884B4" w:rsidR="0017608F" w:rsidRPr="0017608F" w:rsidRDefault="0017608F" w:rsidP="0017608F">
            <w:pPr>
              <w:spacing w:line="240" w:lineRule="auto"/>
              <w:jc w:val="both"/>
              <w:rPr>
                <w:color w:val="000000" w:themeColor="text1"/>
                <w:sz w:val="18"/>
                <w:szCs w:val="18"/>
              </w:rPr>
            </w:pPr>
            <w:r w:rsidRPr="0017608F">
              <w:rPr>
                <w:sz w:val="18"/>
                <w:szCs w:val="18"/>
              </w:rPr>
              <w:t>£5,766</w:t>
            </w:r>
          </w:p>
        </w:tc>
        <w:tc>
          <w:tcPr>
            <w:tcW w:w="767" w:type="pct"/>
            <w:tcBorders>
              <w:top w:val="nil"/>
              <w:left w:val="nil"/>
              <w:bottom w:val="single" w:sz="4" w:space="0" w:color="auto"/>
              <w:right w:val="single" w:sz="4" w:space="0" w:color="auto"/>
            </w:tcBorders>
            <w:shd w:val="clear" w:color="auto" w:fill="auto"/>
            <w:noWrap/>
            <w:vAlign w:val="center"/>
          </w:tcPr>
          <w:p w14:paraId="2771E907" w14:textId="18F8F611" w:rsidR="0017608F" w:rsidRPr="0017608F" w:rsidRDefault="0017608F" w:rsidP="0017608F">
            <w:pPr>
              <w:spacing w:line="240" w:lineRule="auto"/>
              <w:jc w:val="both"/>
              <w:rPr>
                <w:b/>
                <w:color w:val="000000" w:themeColor="text1"/>
                <w:sz w:val="18"/>
                <w:szCs w:val="18"/>
              </w:rPr>
            </w:pPr>
            <w:r w:rsidRPr="0017608F">
              <w:rPr>
                <w:b/>
                <w:bCs/>
                <w:sz w:val="18"/>
                <w:szCs w:val="18"/>
              </w:rPr>
              <w:t>£4,986</w:t>
            </w:r>
          </w:p>
        </w:tc>
      </w:tr>
      <w:tr w:rsidR="0017608F" w:rsidRPr="0017608F" w14:paraId="738F2168" w14:textId="77777777" w:rsidTr="00663265">
        <w:trPr>
          <w:trHeight w:val="300"/>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14:paraId="6528FE25" w14:textId="77777777" w:rsidR="0017608F" w:rsidRPr="0017608F" w:rsidRDefault="0017608F" w:rsidP="0017608F">
            <w:pPr>
              <w:spacing w:line="240" w:lineRule="auto"/>
              <w:jc w:val="both"/>
              <w:rPr>
                <w:color w:val="000000" w:themeColor="text1"/>
                <w:sz w:val="18"/>
                <w:szCs w:val="18"/>
              </w:rPr>
            </w:pPr>
            <w:r w:rsidRPr="0017608F">
              <w:rPr>
                <w:color w:val="000000" w:themeColor="text1"/>
                <w:sz w:val="18"/>
                <w:szCs w:val="18"/>
              </w:rPr>
              <w:t>Income needed</w:t>
            </w:r>
          </w:p>
        </w:tc>
        <w:tc>
          <w:tcPr>
            <w:tcW w:w="768" w:type="pct"/>
            <w:tcBorders>
              <w:top w:val="nil"/>
              <w:left w:val="nil"/>
              <w:bottom w:val="single" w:sz="4" w:space="0" w:color="auto"/>
              <w:right w:val="single" w:sz="4" w:space="0" w:color="auto"/>
            </w:tcBorders>
            <w:shd w:val="clear" w:color="auto" w:fill="auto"/>
            <w:noWrap/>
            <w:vAlign w:val="center"/>
          </w:tcPr>
          <w:p w14:paraId="70AACA13" w14:textId="2845E8A4" w:rsidR="0017608F" w:rsidRPr="0017608F" w:rsidRDefault="0017608F" w:rsidP="0017608F">
            <w:pPr>
              <w:spacing w:line="240" w:lineRule="auto"/>
              <w:jc w:val="both"/>
              <w:rPr>
                <w:color w:val="000000" w:themeColor="text1"/>
                <w:sz w:val="18"/>
                <w:szCs w:val="18"/>
              </w:rPr>
            </w:pPr>
            <w:r w:rsidRPr="0017608F">
              <w:rPr>
                <w:sz w:val="18"/>
                <w:szCs w:val="18"/>
              </w:rPr>
              <w:t>£17,237</w:t>
            </w:r>
          </w:p>
        </w:tc>
        <w:tc>
          <w:tcPr>
            <w:tcW w:w="767" w:type="pct"/>
            <w:tcBorders>
              <w:top w:val="nil"/>
              <w:left w:val="nil"/>
              <w:bottom w:val="single" w:sz="4" w:space="0" w:color="auto"/>
              <w:right w:val="single" w:sz="4" w:space="0" w:color="auto"/>
            </w:tcBorders>
            <w:shd w:val="clear" w:color="auto" w:fill="auto"/>
            <w:noWrap/>
            <w:vAlign w:val="center"/>
          </w:tcPr>
          <w:p w14:paraId="631725AC" w14:textId="56039E97" w:rsidR="0017608F" w:rsidRPr="0017608F" w:rsidRDefault="0017608F" w:rsidP="0017608F">
            <w:pPr>
              <w:spacing w:line="240" w:lineRule="auto"/>
              <w:jc w:val="both"/>
              <w:rPr>
                <w:color w:val="000000" w:themeColor="text1"/>
                <w:sz w:val="18"/>
                <w:szCs w:val="18"/>
              </w:rPr>
            </w:pPr>
            <w:r w:rsidRPr="0017608F">
              <w:rPr>
                <w:sz w:val="18"/>
                <w:szCs w:val="18"/>
              </w:rPr>
              <w:t>£19,658</w:t>
            </w:r>
          </w:p>
        </w:tc>
        <w:tc>
          <w:tcPr>
            <w:tcW w:w="767" w:type="pct"/>
            <w:tcBorders>
              <w:top w:val="nil"/>
              <w:left w:val="nil"/>
              <w:bottom w:val="single" w:sz="4" w:space="0" w:color="auto"/>
              <w:right w:val="single" w:sz="4" w:space="0" w:color="auto"/>
            </w:tcBorders>
            <w:shd w:val="clear" w:color="auto" w:fill="auto"/>
            <w:noWrap/>
            <w:vAlign w:val="center"/>
          </w:tcPr>
          <w:p w14:paraId="0A0D318C" w14:textId="523677BD" w:rsidR="0017608F" w:rsidRPr="0017608F" w:rsidRDefault="0017608F" w:rsidP="0017608F">
            <w:pPr>
              <w:spacing w:line="240" w:lineRule="auto"/>
              <w:jc w:val="both"/>
              <w:rPr>
                <w:color w:val="000000" w:themeColor="text1"/>
                <w:sz w:val="18"/>
                <w:szCs w:val="18"/>
              </w:rPr>
            </w:pPr>
            <w:r w:rsidRPr="0017608F">
              <w:rPr>
                <w:sz w:val="18"/>
                <w:szCs w:val="18"/>
              </w:rPr>
              <w:t>£21,393</w:t>
            </w:r>
          </w:p>
        </w:tc>
        <w:tc>
          <w:tcPr>
            <w:tcW w:w="767" w:type="pct"/>
            <w:tcBorders>
              <w:top w:val="nil"/>
              <w:left w:val="nil"/>
              <w:bottom w:val="single" w:sz="4" w:space="0" w:color="auto"/>
              <w:right w:val="single" w:sz="4" w:space="0" w:color="auto"/>
            </w:tcBorders>
            <w:shd w:val="clear" w:color="auto" w:fill="auto"/>
            <w:noWrap/>
            <w:vAlign w:val="center"/>
          </w:tcPr>
          <w:p w14:paraId="37327737" w14:textId="2429A96B" w:rsidR="0017608F" w:rsidRPr="0017608F" w:rsidRDefault="0017608F" w:rsidP="0017608F">
            <w:pPr>
              <w:spacing w:line="240" w:lineRule="auto"/>
              <w:jc w:val="both"/>
              <w:rPr>
                <w:color w:val="000000" w:themeColor="text1"/>
                <w:sz w:val="18"/>
                <w:szCs w:val="18"/>
              </w:rPr>
            </w:pPr>
            <w:r w:rsidRPr="0017608F">
              <w:rPr>
                <w:sz w:val="18"/>
                <w:szCs w:val="18"/>
              </w:rPr>
              <w:t>£23,065</w:t>
            </w:r>
          </w:p>
        </w:tc>
        <w:tc>
          <w:tcPr>
            <w:tcW w:w="767" w:type="pct"/>
            <w:tcBorders>
              <w:top w:val="nil"/>
              <w:left w:val="nil"/>
              <w:bottom w:val="single" w:sz="4" w:space="0" w:color="auto"/>
              <w:right w:val="single" w:sz="4" w:space="0" w:color="auto"/>
            </w:tcBorders>
            <w:shd w:val="clear" w:color="auto" w:fill="auto"/>
            <w:noWrap/>
            <w:vAlign w:val="center"/>
          </w:tcPr>
          <w:p w14:paraId="26144B07" w14:textId="7B650605" w:rsidR="0017608F" w:rsidRPr="0017608F" w:rsidRDefault="0017608F" w:rsidP="0017608F">
            <w:pPr>
              <w:spacing w:line="240" w:lineRule="auto"/>
              <w:jc w:val="both"/>
              <w:rPr>
                <w:b/>
                <w:color w:val="000000" w:themeColor="text1"/>
                <w:sz w:val="18"/>
                <w:szCs w:val="18"/>
              </w:rPr>
            </w:pPr>
            <w:r w:rsidRPr="0017608F">
              <w:rPr>
                <w:b/>
                <w:bCs/>
                <w:sz w:val="18"/>
                <w:szCs w:val="18"/>
              </w:rPr>
              <w:t>£19,943</w:t>
            </w:r>
          </w:p>
        </w:tc>
      </w:tr>
    </w:tbl>
    <w:p w14:paraId="55019920" w14:textId="01F5ACC4" w:rsidR="002C2D5C" w:rsidRPr="008D6BB7" w:rsidRDefault="009063DD" w:rsidP="002C2D5C">
      <w:pPr>
        <w:pStyle w:val="Source"/>
        <w:jc w:val="both"/>
        <w:rPr>
          <w:color w:val="000000" w:themeColor="text1"/>
          <w:sz w:val="18"/>
          <w:szCs w:val="18"/>
          <w:lang w:val="en-GB"/>
        </w:rPr>
      </w:pPr>
      <w:r>
        <w:rPr>
          <w:color w:val="000000" w:themeColor="text1"/>
          <w:sz w:val="18"/>
          <w:szCs w:val="18"/>
          <w:lang w:val="en-GB"/>
        </w:rPr>
        <w:t>Source: Homes England</w:t>
      </w:r>
      <w:r w:rsidR="002C2D5C" w:rsidRPr="008D6BB7">
        <w:rPr>
          <w:color w:val="000000" w:themeColor="text1"/>
          <w:sz w:val="18"/>
          <w:szCs w:val="18"/>
          <w:lang w:val="en-GB"/>
        </w:rPr>
        <w:t>, AECOM Calculations</w:t>
      </w:r>
    </w:p>
    <w:p w14:paraId="2629CBA4" w14:textId="77777777" w:rsidR="002C2D5C" w:rsidRPr="00C83927" w:rsidRDefault="002C2D5C" w:rsidP="002C2D5C">
      <w:pPr>
        <w:pStyle w:val="Appendixheading2"/>
        <w:numPr>
          <w:ilvl w:val="2"/>
          <w:numId w:val="21"/>
        </w:numPr>
        <w:jc w:val="both"/>
      </w:pPr>
      <w:bookmarkStart w:id="243" w:name="_Toc518220505"/>
      <w:bookmarkStart w:id="244" w:name="_Toc521492007"/>
      <w:bookmarkStart w:id="245" w:name="_Toc536797462"/>
      <w:bookmarkStart w:id="246" w:name="_Toc2690297"/>
      <w:bookmarkStart w:id="247" w:name="_Toc64026836"/>
      <w:r w:rsidRPr="00C83927">
        <w:t xml:space="preserve">Affordable </w:t>
      </w:r>
      <w:r>
        <w:t>r</w:t>
      </w:r>
      <w:r w:rsidRPr="00C83927">
        <w:t>ent</w:t>
      </w:r>
      <w:bookmarkEnd w:id="243"/>
      <w:bookmarkEnd w:id="244"/>
      <w:bookmarkEnd w:id="245"/>
      <w:bookmarkEnd w:id="246"/>
      <w:bookmarkEnd w:id="247"/>
    </w:p>
    <w:p w14:paraId="4911FEE4" w14:textId="1DECEC5C" w:rsidR="002C2D5C" w:rsidRDefault="002C2D5C" w:rsidP="00A82210">
      <w:pPr>
        <w:pStyle w:val="ListNumber"/>
      </w:pPr>
      <w:r w:rsidRPr="008D6BB7">
        <w:t>Affordable rent is controlled at no more than 80% of the local market rent</w:t>
      </w:r>
      <w:r w:rsidR="00044EF5">
        <w:t>.</w:t>
      </w:r>
      <w:r w:rsidRPr="008D6BB7">
        <w:t xml:space="preserve"> </w:t>
      </w:r>
      <w:r w:rsidR="0084044B">
        <w:t>However, registered providers who own and manage affordable rented housing may also apply a cap to the rent to ensure that it is affordable to those on housing benefit (where under Universal Credit the total received in all benefits to working age households is £20,000). Even an 80% discount on the market rent may not be sufficient to ensure that households can afford it, particularly when they are dependent on benefits. R</w:t>
      </w:r>
      <w:r w:rsidR="00044EF5">
        <w:t xml:space="preserve">egistered </w:t>
      </w:r>
      <w:r w:rsidR="0084044B">
        <w:t>P</w:t>
      </w:r>
      <w:r w:rsidR="00044EF5">
        <w:t>rovider</w:t>
      </w:r>
      <w:r w:rsidR="0084044B">
        <w:t xml:space="preserve">s in some areas have applied caps to larger properties where the higher rents would make them unaffordable to families under Universal Credit. This may mean that the rents are actually 50-60% of market levels rather than 80%. </w:t>
      </w:r>
    </w:p>
    <w:p w14:paraId="25343FCB" w14:textId="4644639B" w:rsidR="00044EF5" w:rsidRDefault="00044EF5" w:rsidP="00A82210">
      <w:pPr>
        <w:pStyle w:val="ListNumber"/>
      </w:pPr>
      <w:r>
        <w:t xml:space="preserve">Data on the most realistic local affordable rent costs is obtained from the same source as social rent levels for </w:t>
      </w:r>
      <w:r w:rsidR="00A23F1C">
        <w:t>the former Weymouth and Portland</w:t>
      </w:r>
      <w:r>
        <w:t xml:space="preserve"> </w:t>
      </w:r>
      <w:r w:rsidR="00A23F1C">
        <w:t xml:space="preserve">LA </w:t>
      </w:r>
      <w:r>
        <w:t>(above). Again it is assumed that no more than 30% of income should be spent on rent.</w:t>
      </w:r>
    </w:p>
    <w:p w14:paraId="0C724D31" w14:textId="6504F082" w:rsidR="00044EF5" w:rsidRPr="008D6BB7" w:rsidRDefault="00044EF5" w:rsidP="00044EF5">
      <w:pPr>
        <w:pStyle w:val="Caption"/>
        <w:jc w:val="both"/>
        <w:rPr>
          <w:sz w:val="18"/>
          <w:szCs w:val="18"/>
        </w:rPr>
      </w:pPr>
      <w:r w:rsidRPr="008D6BB7">
        <w:rPr>
          <w:sz w:val="18"/>
          <w:szCs w:val="18"/>
        </w:rPr>
        <w:t>Table A-</w:t>
      </w:r>
      <w:r>
        <w:rPr>
          <w:sz w:val="18"/>
          <w:szCs w:val="18"/>
        </w:rPr>
        <w:t>2</w:t>
      </w:r>
      <w:r w:rsidRPr="008D6BB7">
        <w:rPr>
          <w:sz w:val="18"/>
          <w:szCs w:val="18"/>
        </w:rPr>
        <w:t xml:space="preserve">: </w:t>
      </w:r>
      <w:r>
        <w:rPr>
          <w:sz w:val="18"/>
          <w:szCs w:val="18"/>
        </w:rPr>
        <w:t>Affordable</w:t>
      </w:r>
      <w:r w:rsidRPr="008D6BB7">
        <w:rPr>
          <w:sz w:val="18"/>
          <w:szCs w:val="18"/>
        </w:rPr>
        <w:t xml:space="preserve"> rent levels (£)</w:t>
      </w:r>
    </w:p>
    <w:tbl>
      <w:tblPr>
        <w:tblW w:w="4791" w:type="pct"/>
        <w:tblInd w:w="421" w:type="dxa"/>
        <w:tblLayout w:type="fixed"/>
        <w:tblLook w:val="04A0" w:firstRow="1" w:lastRow="0" w:firstColumn="1" w:lastColumn="0" w:noHBand="0" w:noVBand="1"/>
      </w:tblPr>
      <w:tblGrid>
        <w:gridCol w:w="2191"/>
        <w:gridCol w:w="1446"/>
        <w:gridCol w:w="1444"/>
        <w:gridCol w:w="1444"/>
        <w:gridCol w:w="1444"/>
        <w:gridCol w:w="1444"/>
      </w:tblGrid>
      <w:tr w:rsidR="00044EF5" w:rsidRPr="0017608F" w14:paraId="386C4840" w14:textId="77777777" w:rsidTr="00B44CCF">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8081643" w14:textId="77777777" w:rsidR="00044EF5" w:rsidRPr="0017608F" w:rsidRDefault="00044EF5" w:rsidP="00B44CCF">
            <w:pPr>
              <w:spacing w:line="240" w:lineRule="auto"/>
              <w:jc w:val="both"/>
              <w:rPr>
                <w:b/>
                <w:color w:val="FFFFFF" w:themeColor="background1"/>
                <w:sz w:val="18"/>
                <w:szCs w:val="18"/>
              </w:rPr>
            </w:pPr>
            <w:r w:rsidRPr="0017608F">
              <w:rPr>
                <w:b/>
                <w:color w:val="FFFFFF" w:themeColor="background1"/>
                <w:sz w:val="18"/>
                <w:szCs w:val="18"/>
              </w:rPr>
              <w:t>Size</w:t>
            </w:r>
          </w:p>
        </w:tc>
        <w:tc>
          <w:tcPr>
            <w:tcW w:w="768"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094ACA6E" w14:textId="77777777" w:rsidR="00044EF5" w:rsidRPr="0017608F" w:rsidRDefault="00044EF5" w:rsidP="00B44CCF">
            <w:pPr>
              <w:spacing w:line="240" w:lineRule="auto"/>
              <w:jc w:val="both"/>
              <w:rPr>
                <w:b/>
                <w:color w:val="FFFFFF" w:themeColor="background1"/>
                <w:sz w:val="18"/>
                <w:szCs w:val="18"/>
              </w:rPr>
            </w:pPr>
            <w:r w:rsidRPr="0017608F">
              <w:rPr>
                <w:b/>
                <w:color w:val="FFFFFF" w:themeColor="background1"/>
                <w:sz w:val="18"/>
                <w:szCs w:val="18"/>
              </w:rPr>
              <w:t>1 bed</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15449962" w14:textId="77777777" w:rsidR="00044EF5" w:rsidRPr="0017608F" w:rsidRDefault="00044EF5" w:rsidP="00B44CCF">
            <w:pPr>
              <w:spacing w:line="240" w:lineRule="auto"/>
              <w:jc w:val="both"/>
              <w:rPr>
                <w:b/>
                <w:color w:val="FFFFFF" w:themeColor="background1"/>
                <w:sz w:val="18"/>
                <w:szCs w:val="18"/>
              </w:rPr>
            </w:pPr>
            <w:r w:rsidRPr="0017608F">
              <w:rPr>
                <w:b/>
                <w:color w:val="FFFFFF" w:themeColor="background1"/>
                <w:sz w:val="18"/>
                <w:szCs w:val="18"/>
              </w:rPr>
              <w:t>2 beds</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03BCF9A8" w14:textId="77777777" w:rsidR="00044EF5" w:rsidRPr="0017608F" w:rsidRDefault="00044EF5" w:rsidP="00B44CCF">
            <w:pPr>
              <w:spacing w:line="240" w:lineRule="auto"/>
              <w:jc w:val="both"/>
              <w:rPr>
                <w:b/>
                <w:color w:val="FFFFFF" w:themeColor="background1"/>
                <w:sz w:val="18"/>
                <w:szCs w:val="18"/>
              </w:rPr>
            </w:pPr>
            <w:r w:rsidRPr="0017608F">
              <w:rPr>
                <w:b/>
                <w:color w:val="FFFFFF" w:themeColor="background1"/>
                <w:sz w:val="18"/>
                <w:szCs w:val="18"/>
              </w:rPr>
              <w:t>3 beds</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03C2463A" w14:textId="77777777" w:rsidR="00044EF5" w:rsidRPr="0017608F" w:rsidRDefault="00044EF5" w:rsidP="00B44CCF">
            <w:pPr>
              <w:spacing w:line="240" w:lineRule="auto"/>
              <w:jc w:val="both"/>
              <w:rPr>
                <w:b/>
                <w:color w:val="FFFFFF" w:themeColor="background1"/>
                <w:sz w:val="18"/>
                <w:szCs w:val="18"/>
              </w:rPr>
            </w:pPr>
            <w:r w:rsidRPr="0017608F">
              <w:rPr>
                <w:b/>
                <w:color w:val="FFFFFF" w:themeColor="background1"/>
                <w:sz w:val="18"/>
                <w:szCs w:val="18"/>
              </w:rPr>
              <w:t>4 beds</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4F0CC848" w14:textId="77777777" w:rsidR="00044EF5" w:rsidRPr="0017608F" w:rsidRDefault="00044EF5" w:rsidP="00B44CCF">
            <w:pPr>
              <w:spacing w:line="240" w:lineRule="auto"/>
              <w:jc w:val="both"/>
              <w:rPr>
                <w:b/>
                <w:color w:val="FFFFFF" w:themeColor="background1"/>
                <w:sz w:val="18"/>
                <w:szCs w:val="18"/>
              </w:rPr>
            </w:pPr>
            <w:r w:rsidRPr="0017608F">
              <w:rPr>
                <w:b/>
                <w:color w:val="FFFFFF" w:themeColor="background1"/>
                <w:sz w:val="18"/>
                <w:szCs w:val="18"/>
              </w:rPr>
              <w:t>All</w:t>
            </w:r>
          </w:p>
        </w:tc>
      </w:tr>
      <w:tr w:rsidR="0017608F" w:rsidRPr="0017608F" w14:paraId="01FCBE10" w14:textId="77777777" w:rsidTr="00663265">
        <w:trPr>
          <w:trHeight w:val="300"/>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14:paraId="2D1C8DC7" w14:textId="515112F0" w:rsidR="0017608F" w:rsidRPr="0017608F" w:rsidRDefault="0017608F" w:rsidP="0017608F">
            <w:pPr>
              <w:spacing w:line="240" w:lineRule="auto"/>
              <w:jc w:val="both"/>
              <w:rPr>
                <w:color w:val="000000" w:themeColor="text1"/>
                <w:sz w:val="18"/>
                <w:szCs w:val="18"/>
              </w:rPr>
            </w:pPr>
            <w:r w:rsidRPr="0017608F">
              <w:rPr>
                <w:color w:val="000000" w:themeColor="text1"/>
                <w:sz w:val="18"/>
                <w:szCs w:val="18"/>
              </w:rPr>
              <w:t>Average affordable rent per week</w:t>
            </w:r>
          </w:p>
        </w:tc>
        <w:tc>
          <w:tcPr>
            <w:tcW w:w="768" w:type="pct"/>
            <w:tcBorders>
              <w:top w:val="nil"/>
              <w:left w:val="nil"/>
              <w:bottom w:val="single" w:sz="4" w:space="0" w:color="auto"/>
              <w:right w:val="single" w:sz="4" w:space="0" w:color="auto"/>
            </w:tcBorders>
            <w:shd w:val="clear" w:color="auto" w:fill="auto"/>
            <w:noWrap/>
            <w:vAlign w:val="center"/>
          </w:tcPr>
          <w:p w14:paraId="3B77CC8E" w14:textId="474244CC" w:rsidR="0017608F" w:rsidRPr="0017608F" w:rsidRDefault="0017608F" w:rsidP="0017608F">
            <w:pPr>
              <w:spacing w:line="240" w:lineRule="auto"/>
              <w:jc w:val="both"/>
              <w:rPr>
                <w:color w:val="000000" w:themeColor="text1"/>
                <w:sz w:val="18"/>
                <w:szCs w:val="18"/>
              </w:rPr>
            </w:pPr>
            <w:r w:rsidRPr="0017608F">
              <w:rPr>
                <w:sz w:val="18"/>
                <w:szCs w:val="18"/>
              </w:rPr>
              <w:t>£101.37</w:t>
            </w:r>
          </w:p>
        </w:tc>
        <w:tc>
          <w:tcPr>
            <w:tcW w:w="767" w:type="pct"/>
            <w:tcBorders>
              <w:top w:val="nil"/>
              <w:left w:val="nil"/>
              <w:bottom w:val="single" w:sz="4" w:space="0" w:color="auto"/>
              <w:right w:val="single" w:sz="4" w:space="0" w:color="auto"/>
            </w:tcBorders>
            <w:shd w:val="clear" w:color="auto" w:fill="auto"/>
            <w:noWrap/>
            <w:vAlign w:val="center"/>
          </w:tcPr>
          <w:p w14:paraId="7DEF4570" w14:textId="08F1A97C" w:rsidR="0017608F" w:rsidRPr="0017608F" w:rsidRDefault="0017608F" w:rsidP="0017608F">
            <w:pPr>
              <w:spacing w:line="240" w:lineRule="auto"/>
              <w:jc w:val="both"/>
              <w:rPr>
                <w:color w:val="000000" w:themeColor="text1"/>
                <w:sz w:val="18"/>
                <w:szCs w:val="18"/>
              </w:rPr>
            </w:pPr>
            <w:r w:rsidRPr="0017608F">
              <w:rPr>
                <w:sz w:val="18"/>
                <w:szCs w:val="18"/>
              </w:rPr>
              <w:t>£123.66</w:t>
            </w:r>
          </w:p>
        </w:tc>
        <w:tc>
          <w:tcPr>
            <w:tcW w:w="767" w:type="pct"/>
            <w:tcBorders>
              <w:top w:val="nil"/>
              <w:left w:val="nil"/>
              <w:bottom w:val="single" w:sz="4" w:space="0" w:color="auto"/>
              <w:right w:val="single" w:sz="4" w:space="0" w:color="auto"/>
            </w:tcBorders>
            <w:shd w:val="clear" w:color="auto" w:fill="auto"/>
            <w:noWrap/>
            <w:vAlign w:val="center"/>
          </w:tcPr>
          <w:p w14:paraId="5F47E26E" w14:textId="2196B502" w:rsidR="0017608F" w:rsidRPr="0017608F" w:rsidRDefault="0017608F" w:rsidP="0017608F">
            <w:pPr>
              <w:spacing w:line="240" w:lineRule="auto"/>
              <w:jc w:val="both"/>
              <w:rPr>
                <w:color w:val="000000" w:themeColor="text1"/>
                <w:sz w:val="18"/>
                <w:szCs w:val="18"/>
              </w:rPr>
            </w:pPr>
            <w:r w:rsidRPr="0017608F">
              <w:rPr>
                <w:sz w:val="18"/>
                <w:szCs w:val="18"/>
              </w:rPr>
              <w:t>£140.85</w:t>
            </w:r>
          </w:p>
        </w:tc>
        <w:tc>
          <w:tcPr>
            <w:tcW w:w="767" w:type="pct"/>
            <w:tcBorders>
              <w:top w:val="nil"/>
              <w:left w:val="nil"/>
              <w:bottom w:val="single" w:sz="4" w:space="0" w:color="auto"/>
              <w:right w:val="single" w:sz="4" w:space="0" w:color="auto"/>
            </w:tcBorders>
            <w:shd w:val="clear" w:color="auto" w:fill="auto"/>
            <w:noWrap/>
            <w:vAlign w:val="center"/>
          </w:tcPr>
          <w:p w14:paraId="63C682D4" w14:textId="0D075F71" w:rsidR="0017608F" w:rsidRPr="0017608F" w:rsidRDefault="0017608F" w:rsidP="0017608F">
            <w:pPr>
              <w:spacing w:line="240" w:lineRule="auto"/>
              <w:jc w:val="both"/>
              <w:rPr>
                <w:color w:val="000000" w:themeColor="text1"/>
                <w:sz w:val="18"/>
                <w:szCs w:val="18"/>
              </w:rPr>
            </w:pPr>
            <w:r w:rsidRPr="0017608F">
              <w:rPr>
                <w:sz w:val="18"/>
                <w:szCs w:val="18"/>
              </w:rPr>
              <w:t>£169.96</w:t>
            </w:r>
          </w:p>
        </w:tc>
        <w:tc>
          <w:tcPr>
            <w:tcW w:w="767" w:type="pct"/>
            <w:tcBorders>
              <w:top w:val="nil"/>
              <w:left w:val="nil"/>
              <w:bottom w:val="single" w:sz="4" w:space="0" w:color="auto"/>
              <w:right w:val="single" w:sz="4" w:space="0" w:color="auto"/>
            </w:tcBorders>
            <w:shd w:val="clear" w:color="auto" w:fill="auto"/>
            <w:noWrap/>
            <w:vAlign w:val="center"/>
          </w:tcPr>
          <w:p w14:paraId="5195FC4C" w14:textId="6986EA93" w:rsidR="0017608F" w:rsidRPr="0017608F" w:rsidRDefault="0017608F" w:rsidP="0017608F">
            <w:pPr>
              <w:spacing w:line="240" w:lineRule="auto"/>
              <w:jc w:val="both"/>
              <w:rPr>
                <w:b/>
                <w:bCs/>
                <w:color w:val="000000" w:themeColor="text1"/>
                <w:sz w:val="18"/>
                <w:szCs w:val="18"/>
              </w:rPr>
            </w:pPr>
            <w:r w:rsidRPr="0017608F">
              <w:rPr>
                <w:b/>
                <w:bCs/>
                <w:sz w:val="18"/>
                <w:szCs w:val="18"/>
              </w:rPr>
              <w:t>£123.45</w:t>
            </w:r>
          </w:p>
        </w:tc>
      </w:tr>
      <w:tr w:rsidR="0017608F" w:rsidRPr="0017608F" w14:paraId="0BEACAD0" w14:textId="77777777" w:rsidTr="00663265">
        <w:trPr>
          <w:trHeight w:val="300"/>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14:paraId="5814261B" w14:textId="77777777" w:rsidR="0017608F" w:rsidRPr="0017608F" w:rsidRDefault="0017608F" w:rsidP="0017608F">
            <w:pPr>
              <w:spacing w:line="240" w:lineRule="auto"/>
              <w:jc w:val="both"/>
              <w:rPr>
                <w:color w:val="000000" w:themeColor="text1"/>
                <w:sz w:val="18"/>
                <w:szCs w:val="18"/>
              </w:rPr>
            </w:pPr>
            <w:r w:rsidRPr="0017608F">
              <w:rPr>
                <w:color w:val="000000" w:themeColor="text1"/>
                <w:sz w:val="18"/>
                <w:szCs w:val="18"/>
              </w:rPr>
              <w:t>Annual average</w:t>
            </w:r>
          </w:p>
        </w:tc>
        <w:tc>
          <w:tcPr>
            <w:tcW w:w="768" w:type="pct"/>
            <w:tcBorders>
              <w:top w:val="nil"/>
              <w:left w:val="nil"/>
              <w:bottom w:val="single" w:sz="4" w:space="0" w:color="auto"/>
              <w:right w:val="single" w:sz="4" w:space="0" w:color="auto"/>
            </w:tcBorders>
            <w:shd w:val="clear" w:color="auto" w:fill="auto"/>
            <w:noWrap/>
            <w:vAlign w:val="center"/>
          </w:tcPr>
          <w:p w14:paraId="1806BFCB" w14:textId="1E4DE1F7" w:rsidR="0017608F" w:rsidRPr="0017608F" w:rsidRDefault="0017608F" w:rsidP="0017608F">
            <w:pPr>
              <w:spacing w:line="240" w:lineRule="auto"/>
              <w:jc w:val="both"/>
              <w:rPr>
                <w:color w:val="000000" w:themeColor="text1"/>
                <w:sz w:val="18"/>
                <w:szCs w:val="18"/>
              </w:rPr>
            </w:pPr>
            <w:r w:rsidRPr="0017608F">
              <w:rPr>
                <w:sz w:val="18"/>
                <w:szCs w:val="18"/>
              </w:rPr>
              <w:t>£5,271</w:t>
            </w:r>
          </w:p>
        </w:tc>
        <w:tc>
          <w:tcPr>
            <w:tcW w:w="767" w:type="pct"/>
            <w:tcBorders>
              <w:top w:val="nil"/>
              <w:left w:val="nil"/>
              <w:bottom w:val="single" w:sz="4" w:space="0" w:color="auto"/>
              <w:right w:val="single" w:sz="4" w:space="0" w:color="auto"/>
            </w:tcBorders>
            <w:shd w:val="clear" w:color="auto" w:fill="auto"/>
            <w:noWrap/>
            <w:vAlign w:val="center"/>
          </w:tcPr>
          <w:p w14:paraId="55F87B07" w14:textId="07F27706" w:rsidR="0017608F" w:rsidRPr="0017608F" w:rsidRDefault="0017608F" w:rsidP="0017608F">
            <w:pPr>
              <w:spacing w:line="240" w:lineRule="auto"/>
              <w:jc w:val="both"/>
              <w:rPr>
                <w:color w:val="000000" w:themeColor="text1"/>
                <w:sz w:val="18"/>
                <w:szCs w:val="18"/>
              </w:rPr>
            </w:pPr>
            <w:r w:rsidRPr="0017608F">
              <w:rPr>
                <w:sz w:val="18"/>
                <w:szCs w:val="18"/>
              </w:rPr>
              <w:t>£6,430</w:t>
            </w:r>
          </w:p>
        </w:tc>
        <w:tc>
          <w:tcPr>
            <w:tcW w:w="767" w:type="pct"/>
            <w:tcBorders>
              <w:top w:val="nil"/>
              <w:left w:val="nil"/>
              <w:bottom w:val="single" w:sz="4" w:space="0" w:color="auto"/>
              <w:right w:val="single" w:sz="4" w:space="0" w:color="auto"/>
            </w:tcBorders>
            <w:shd w:val="clear" w:color="auto" w:fill="auto"/>
            <w:noWrap/>
            <w:vAlign w:val="center"/>
          </w:tcPr>
          <w:p w14:paraId="3894A2CC" w14:textId="7ABC7193" w:rsidR="0017608F" w:rsidRPr="0017608F" w:rsidRDefault="0017608F" w:rsidP="0017608F">
            <w:pPr>
              <w:spacing w:line="240" w:lineRule="auto"/>
              <w:jc w:val="both"/>
              <w:rPr>
                <w:color w:val="000000" w:themeColor="text1"/>
                <w:sz w:val="18"/>
                <w:szCs w:val="18"/>
              </w:rPr>
            </w:pPr>
            <w:r w:rsidRPr="0017608F">
              <w:rPr>
                <w:sz w:val="18"/>
                <w:szCs w:val="18"/>
              </w:rPr>
              <w:t>£7,324</w:t>
            </w:r>
          </w:p>
        </w:tc>
        <w:tc>
          <w:tcPr>
            <w:tcW w:w="767" w:type="pct"/>
            <w:tcBorders>
              <w:top w:val="nil"/>
              <w:left w:val="nil"/>
              <w:bottom w:val="single" w:sz="4" w:space="0" w:color="auto"/>
              <w:right w:val="single" w:sz="4" w:space="0" w:color="auto"/>
            </w:tcBorders>
            <w:shd w:val="clear" w:color="auto" w:fill="auto"/>
            <w:noWrap/>
            <w:vAlign w:val="center"/>
          </w:tcPr>
          <w:p w14:paraId="39362B20" w14:textId="72837B82" w:rsidR="0017608F" w:rsidRPr="0017608F" w:rsidRDefault="0017608F" w:rsidP="0017608F">
            <w:pPr>
              <w:spacing w:line="240" w:lineRule="auto"/>
              <w:jc w:val="both"/>
              <w:rPr>
                <w:color w:val="000000" w:themeColor="text1"/>
                <w:sz w:val="18"/>
                <w:szCs w:val="18"/>
              </w:rPr>
            </w:pPr>
            <w:r w:rsidRPr="0017608F">
              <w:rPr>
                <w:sz w:val="18"/>
                <w:szCs w:val="18"/>
              </w:rPr>
              <w:t>£8,838</w:t>
            </w:r>
          </w:p>
        </w:tc>
        <w:tc>
          <w:tcPr>
            <w:tcW w:w="767" w:type="pct"/>
            <w:tcBorders>
              <w:top w:val="nil"/>
              <w:left w:val="nil"/>
              <w:bottom w:val="single" w:sz="4" w:space="0" w:color="auto"/>
              <w:right w:val="single" w:sz="4" w:space="0" w:color="auto"/>
            </w:tcBorders>
            <w:shd w:val="clear" w:color="auto" w:fill="auto"/>
            <w:noWrap/>
            <w:vAlign w:val="center"/>
          </w:tcPr>
          <w:p w14:paraId="6E213B3F" w14:textId="03FAE08B" w:rsidR="0017608F" w:rsidRPr="0017608F" w:rsidRDefault="0017608F" w:rsidP="0017608F">
            <w:pPr>
              <w:spacing w:line="240" w:lineRule="auto"/>
              <w:jc w:val="both"/>
              <w:rPr>
                <w:b/>
                <w:bCs/>
                <w:color w:val="000000" w:themeColor="text1"/>
                <w:sz w:val="18"/>
                <w:szCs w:val="18"/>
              </w:rPr>
            </w:pPr>
            <w:r w:rsidRPr="0017608F">
              <w:rPr>
                <w:b/>
                <w:bCs/>
                <w:sz w:val="18"/>
                <w:szCs w:val="18"/>
              </w:rPr>
              <w:t>£6,419</w:t>
            </w:r>
          </w:p>
        </w:tc>
      </w:tr>
      <w:tr w:rsidR="0017608F" w:rsidRPr="0017608F" w14:paraId="3F8C9249" w14:textId="77777777" w:rsidTr="00663265">
        <w:trPr>
          <w:trHeight w:val="300"/>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14:paraId="497348D5" w14:textId="77777777" w:rsidR="0017608F" w:rsidRPr="0017608F" w:rsidRDefault="0017608F" w:rsidP="0017608F">
            <w:pPr>
              <w:spacing w:line="240" w:lineRule="auto"/>
              <w:jc w:val="both"/>
              <w:rPr>
                <w:color w:val="000000" w:themeColor="text1"/>
                <w:sz w:val="18"/>
                <w:szCs w:val="18"/>
              </w:rPr>
            </w:pPr>
            <w:r w:rsidRPr="0017608F">
              <w:rPr>
                <w:color w:val="000000" w:themeColor="text1"/>
                <w:sz w:val="18"/>
                <w:szCs w:val="18"/>
              </w:rPr>
              <w:t>Income needed</w:t>
            </w:r>
          </w:p>
        </w:tc>
        <w:tc>
          <w:tcPr>
            <w:tcW w:w="768" w:type="pct"/>
            <w:tcBorders>
              <w:top w:val="nil"/>
              <w:left w:val="nil"/>
              <w:bottom w:val="single" w:sz="4" w:space="0" w:color="auto"/>
              <w:right w:val="single" w:sz="4" w:space="0" w:color="auto"/>
            </w:tcBorders>
            <w:shd w:val="clear" w:color="auto" w:fill="auto"/>
            <w:noWrap/>
            <w:vAlign w:val="center"/>
          </w:tcPr>
          <w:p w14:paraId="66BDE0DA" w14:textId="66E6B716" w:rsidR="0017608F" w:rsidRPr="0017608F" w:rsidRDefault="0017608F" w:rsidP="0017608F">
            <w:pPr>
              <w:spacing w:line="240" w:lineRule="auto"/>
              <w:jc w:val="both"/>
              <w:rPr>
                <w:color w:val="000000" w:themeColor="text1"/>
                <w:sz w:val="18"/>
                <w:szCs w:val="18"/>
              </w:rPr>
            </w:pPr>
            <w:r w:rsidRPr="0017608F">
              <w:rPr>
                <w:sz w:val="18"/>
                <w:szCs w:val="18"/>
              </w:rPr>
              <w:t>£21,085</w:t>
            </w:r>
          </w:p>
        </w:tc>
        <w:tc>
          <w:tcPr>
            <w:tcW w:w="767" w:type="pct"/>
            <w:tcBorders>
              <w:top w:val="nil"/>
              <w:left w:val="nil"/>
              <w:bottom w:val="single" w:sz="4" w:space="0" w:color="auto"/>
              <w:right w:val="single" w:sz="4" w:space="0" w:color="auto"/>
            </w:tcBorders>
            <w:shd w:val="clear" w:color="auto" w:fill="auto"/>
            <w:noWrap/>
            <w:vAlign w:val="center"/>
          </w:tcPr>
          <w:p w14:paraId="1D68045B" w14:textId="00472BDB" w:rsidR="0017608F" w:rsidRPr="0017608F" w:rsidRDefault="0017608F" w:rsidP="0017608F">
            <w:pPr>
              <w:spacing w:line="240" w:lineRule="auto"/>
              <w:jc w:val="both"/>
              <w:rPr>
                <w:color w:val="000000" w:themeColor="text1"/>
                <w:sz w:val="18"/>
                <w:szCs w:val="18"/>
              </w:rPr>
            </w:pPr>
            <w:r w:rsidRPr="0017608F">
              <w:rPr>
                <w:sz w:val="18"/>
                <w:szCs w:val="18"/>
              </w:rPr>
              <w:t>£25,721</w:t>
            </w:r>
          </w:p>
        </w:tc>
        <w:tc>
          <w:tcPr>
            <w:tcW w:w="767" w:type="pct"/>
            <w:tcBorders>
              <w:top w:val="nil"/>
              <w:left w:val="nil"/>
              <w:bottom w:val="single" w:sz="4" w:space="0" w:color="auto"/>
              <w:right w:val="single" w:sz="4" w:space="0" w:color="auto"/>
            </w:tcBorders>
            <w:shd w:val="clear" w:color="auto" w:fill="auto"/>
            <w:noWrap/>
            <w:vAlign w:val="center"/>
          </w:tcPr>
          <w:p w14:paraId="3A7BE5E2" w14:textId="123D72BC" w:rsidR="0017608F" w:rsidRPr="0017608F" w:rsidRDefault="0017608F" w:rsidP="0017608F">
            <w:pPr>
              <w:spacing w:line="240" w:lineRule="auto"/>
              <w:jc w:val="both"/>
              <w:rPr>
                <w:color w:val="000000" w:themeColor="text1"/>
                <w:sz w:val="18"/>
                <w:szCs w:val="18"/>
              </w:rPr>
            </w:pPr>
            <w:r w:rsidRPr="0017608F">
              <w:rPr>
                <w:sz w:val="18"/>
                <w:szCs w:val="18"/>
              </w:rPr>
              <w:t>£29,297</w:t>
            </w:r>
          </w:p>
        </w:tc>
        <w:tc>
          <w:tcPr>
            <w:tcW w:w="767" w:type="pct"/>
            <w:tcBorders>
              <w:top w:val="nil"/>
              <w:left w:val="nil"/>
              <w:bottom w:val="single" w:sz="4" w:space="0" w:color="auto"/>
              <w:right w:val="single" w:sz="4" w:space="0" w:color="auto"/>
            </w:tcBorders>
            <w:shd w:val="clear" w:color="auto" w:fill="auto"/>
            <w:noWrap/>
            <w:vAlign w:val="center"/>
          </w:tcPr>
          <w:p w14:paraId="3E2EEC3D" w14:textId="465DEFEC" w:rsidR="0017608F" w:rsidRPr="0017608F" w:rsidRDefault="0017608F" w:rsidP="0017608F">
            <w:pPr>
              <w:spacing w:line="240" w:lineRule="auto"/>
              <w:jc w:val="both"/>
              <w:rPr>
                <w:color w:val="000000" w:themeColor="text1"/>
                <w:sz w:val="18"/>
                <w:szCs w:val="18"/>
              </w:rPr>
            </w:pPr>
            <w:r w:rsidRPr="0017608F">
              <w:rPr>
                <w:sz w:val="18"/>
                <w:szCs w:val="18"/>
              </w:rPr>
              <w:t>£35,352</w:t>
            </w:r>
          </w:p>
        </w:tc>
        <w:tc>
          <w:tcPr>
            <w:tcW w:w="767" w:type="pct"/>
            <w:tcBorders>
              <w:top w:val="nil"/>
              <w:left w:val="nil"/>
              <w:bottom w:val="single" w:sz="4" w:space="0" w:color="auto"/>
              <w:right w:val="single" w:sz="4" w:space="0" w:color="auto"/>
            </w:tcBorders>
            <w:shd w:val="clear" w:color="auto" w:fill="auto"/>
            <w:noWrap/>
            <w:vAlign w:val="center"/>
          </w:tcPr>
          <w:p w14:paraId="2929B189" w14:textId="0E521796" w:rsidR="0017608F" w:rsidRPr="0017608F" w:rsidRDefault="0017608F" w:rsidP="0017608F">
            <w:pPr>
              <w:spacing w:line="240" w:lineRule="auto"/>
              <w:jc w:val="both"/>
              <w:rPr>
                <w:b/>
                <w:bCs/>
                <w:color w:val="000000" w:themeColor="text1"/>
                <w:sz w:val="18"/>
                <w:szCs w:val="18"/>
              </w:rPr>
            </w:pPr>
            <w:r w:rsidRPr="0017608F">
              <w:rPr>
                <w:b/>
                <w:bCs/>
                <w:sz w:val="18"/>
                <w:szCs w:val="18"/>
              </w:rPr>
              <w:t>£25,678</w:t>
            </w:r>
          </w:p>
        </w:tc>
      </w:tr>
    </w:tbl>
    <w:p w14:paraId="0ED4D93B" w14:textId="77777777" w:rsidR="00044EF5" w:rsidRPr="008D6BB7" w:rsidRDefault="00044EF5" w:rsidP="00044EF5">
      <w:pPr>
        <w:pStyle w:val="Source"/>
        <w:jc w:val="both"/>
        <w:rPr>
          <w:color w:val="000000" w:themeColor="text1"/>
          <w:sz w:val="18"/>
          <w:szCs w:val="18"/>
          <w:lang w:val="en-GB"/>
        </w:rPr>
      </w:pPr>
      <w:r>
        <w:rPr>
          <w:color w:val="000000" w:themeColor="text1"/>
          <w:sz w:val="18"/>
          <w:szCs w:val="18"/>
          <w:lang w:val="en-GB"/>
        </w:rPr>
        <w:t>Source: Homes England</w:t>
      </w:r>
      <w:r w:rsidRPr="008D6BB7">
        <w:rPr>
          <w:color w:val="000000" w:themeColor="text1"/>
          <w:sz w:val="18"/>
          <w:szCs w:val="18"/>
          <w:lang w:val="en-GB"/>
        </w:rPr>
        <w:t>, AECOM Calculations</w:t>
      </w:r>
    </w:p>
    <w:p w14:paraId="526C5DFF" w14:textId="77777777" w:rsidR="002C2D5C" w:rsidRPr="00C83927" w:rsidRDefault="002C2D5C" w:rsidP="002C2D5C">
      <w:pPr>
        <w:pStyle w:val="Appendixheading2"/>
        <w:numPr>
          <w:ilvl w:val="2"/>
          <w:numId w:val="21"/>
        </w:numPr>
        <w:jc w:val="both"/>
      </w:pPr>
      <w:bookmarkStart w:id="248" w:name="_Toc521492008"/>
      <w:bookmarkStart w:id="249" w:name="_Toc536797463"/>
      <w:bookmarkStart w:id="250" w:name="_Toc2690298"/>
      <w:bookmarkStart w:id="251" w:name="_Toc64026837"/>
      <w:r w:rsidRPr="00C83927">
        <w:t xml:space="preserve">Intermediate </w:t>
      </w:r>
      <w:r>
        <w:t>t</w:t>
      </w:r>
      <w:r w:rsidRPr="00C83927">
        <w:t>enures</w:t>
      </w:r>
      <w:bookmarkEnd w:id="248"/>
      <w:bookmarkEnd w:id="249"/>
      <w:bookmarkEnd w:id="250"/>
      <w:bookmarkEnd w:id="251"/>
    </w:p>
    <w:p w14:paraId="225EF26E" w14:textId="52F28765" w:rsidR="002C2D5C" w:rsidRPr="008D6BB7" w:rsidRDefault="002C2D5C" w:rsidP="00A82210">
      <w:pPr>
        <w:pStyle w:val="ListNumber"/>
      </w:pPr>
      <w:r w:rsidRPr="008D6BB7">
        <w:t>Intermediate housing includes homes for sale and rent provided at a cost above social rent, but below market levels</w:t>
      </w:r>
      <w:r w:rsidR="00BE7DF2">
        <w:t>,</w:t>
      </w:r>
      <w:r w:rsidRPr="008D6BB7">
        <w:t xml:space="preserve"> subject to the criteria in the </w:t>
      </w:r>
      <w:r w:rsidR="00BE7DF2">
        <w:t xml:space="preserve">affordable housing </w:t>
      </w:r>
      <w:r w:rsidRPr="008D6BB7">
        <w:t>definition above. They can include shared equity (shared ownership and equity loans), other low-cost homes for sale and intermediate rent, but not affordable rented housing.</w:t>
      </w:r>
    </w:p>
    <w:p w14:paraId="1FA361F3" w14:textId="77777777" w:rsidR="00EF583D" w:rsidRPr="001D1D8A" w:rsidRDefault="00EF583D" w:rsidP="00A82210">
      <w:pPr>
        <w:pStyle w:val="ListNumber"/>
        <w:numPr>
          <w:ilvl w:val="0"/>
          <w:numId w:val="0"/>
        </w:numPr>
        <w:ind w:left="425"/>
        <w:rPr>
          <w:b/>
          <w:bCs/>
        </w:rPr>
      </w:pPr>
      <w:bookmarkStart w:id="252" w:name="_Toc518220506"/>
      <w:bookmarkStart w:id="253" w:name="_Toc521492009"/>
      <w:bookmarkStart w:id="254" w:name="_Toc536797464"/>
      <w:r w:rsidRPr="001D1D8A">
        <w:rPr>
          <w:b/>
          <w:bCs/>
        </w:rPr>
        <w:t>Discounted Market Homes</w:t>
      </w:r>
    </w:p>
    <w:p w14:paraId="59F17666" w14:textId="247DDF96" w:rsidR="00EF583D" w:rsidRPr="00044EF5" w:rsidRDefault="00EF583D" w:rsidP="00A82210">
      <w:pPr>
        <w:pStyle w:val="ListNumber"/>
        <w:rPr>
          <w:rStyle w:val="QuoteChar"/>
          <w:i w:val="0"/>
          <w:iCs w:val="0"/>
          <w:color w:val="000000"/>
          <w:kern w:val="0"/>
          <w:szCs w:val="24"/>
        </w:rPr>
      </w:pPr>
      <w:r w:rsidRPr="00044EF5">
        <w:t xml:space="preserve">In paragraph 64 of the NPPF 2019, the Government introduces a recommendation that </w:t>
      </w:r>
      <w:r w:rsidRPr="00044EF5">
        <w:rPr>
          <w:rStyle w:val="QuoteChar"/>
          <w:i w:val="0"/>
          <w:iCs w:val="0"/>
          <w:color w:val="000000"/>
          <w:kern w:val="0"/>
          <w:szCs w:val="24"/>
        </w:rPr>
        <w:t>“where major housing development is proposed, planning policies and decisions should expect at least 10% of the homes to be available for affordable home ownership”.</w:t>
      </w:r>
      <w:r w:rsidR="00974888">
        <w:rPr>
          <w:rStyle w:val="QuoteChar"/>
          <w:i w:val="0"/>
          <w:iCs w:val="0"/>
          <w:color w:val="000000"/>
          <w:kern w:val="0"/>
          <w:szCs w:val="24"/>
        </w:rPr>
        <w:t xml:space="preserve"> </w:t>
      </w:r>
      <w:bookmarkStart w:id="255" w:name="_Hlk49950724"/>
      <w:r w:rsidR="00974888">
        <w:rPr>
          <w:rStyle w:val="QuoteChar"/>
          <w:i w:val="0"/>
          <w:iCs w:val="0"/>
          <w:color w:val="000000"/>
          <w:kern w:val="0"/>
          <w:szCs w:val="24"/>
        </w:rPr>
        <w:t>The most recent proposals for ‘Changes to the current planning system’ suggest that 25% of all Affordable Housing should be First Homes – the Government’s new flagship discounted market sale product. When the NPPF is next updated, it is expected that the 10% requirement referenced above may be replaced by the First Homes requirement</w:t>
      </w:r>
      <w:bookmarkEnd w:id="255"/>
      <w:r w:rsidR="00974888">
        <w:rPr>
          <w:rStyle w:val="QuoteChar"/>
          <w:i w:val="0"/>
          <w:iCs w:val="0"/>
          <w:color w:val="000000"/>
          <w:kern w:val="0"/>
          <w:szCs w:val="24"/>
        </w:rPr>
        <w:t>.</w:t>
      </w:r>
    </w:p>
    <w:p w14:paraId="1F582011" w14:textId="77777777" w:rsidR="00EF583D" w:rsidRPr="00044EF5" w:rsidRDefault="00EF583D" w:rsidP="00A82210">
      <w:pPr>
        <w:pStyle w:val="ListNumber"/>
      </w:pPr>
      <w:r w:rsidRPr="00044EF5">
        <w:t xml:space="preserve">Whether to treat discounted market sale homes as affordable housing or not depends on whether discounting the asking price of new build homes of a size and type suitable to first time buyers would bring them within reach of people currently unable to access market housing for purchase. </w:t>
      </w:r>
    </w:p>
    <w:p w14:paraId="12D2ED11" w14:textId="3D20A7C3" w:rsidR="00EF583D" w:rsidRPr="00044EF5" w:rsidRDefault="00EF583D" w:rsidP="00A82210">
      <w:pPr>
        <w:pStyle w:val="ListNumber"/>
      </w:pPr>
      <w:bookmarkStart w:id="256" w:name="_Hlk49950878"/>
      <w:r w:rsidRPr="00044EF5">
        <w:t xml:space="preserve">Applying a discount of </w:t>
      </w:r>
      <w:r w:rsidR="00DC1088">
        <w:t>3</w:t>
      </w:r>
      <w:r w:rsidRPr="00044EF5">
        <w:t xml:space="preserve">0% </w:t>
      </w:r>
      <w:r w:rsidR="00DC1088">
        <w:t xml:space="preserve">- as in the Government’s proposed First Homes product – </w:t>
      </w:r>
      <w:r w:rsidRPr="00044EF5">
        <w:t>provides an approximate selling price of £</w:t>
      </w:r>
      <w:r w:rsidR="001D1D8A">
        <w:t>164,500</w:t>
      </w:r>
      <w:r w:rsidRPr="00044EF5">
        <w:t xml:space="preserve"> (</w:t>
      </w:r>
      <w:r w:rsidR="00DC1088">
        <w:t>3</w:t>
      </w:r>
      <w:r w:rsidRPr="00044EF5">
        <w:t>0% discount on median average prices of £</w:t>
      </w:r>
      <w:r w:rsidR="001D1D8A">
        <w:t>235,000</w:t>
      </w:r>
      <w:r w:rsidRPr="00044EF5">
        <w:t>). Allowing for a 10% deposit further reduces the value of the property to £</w:t>
      </w:r>
      <w:r w:rsidR="001D1D8A">
        <w:t>148,050</w:t>
      </w:r>
      <w:r w:rsidRPr="00044EF5">
        <w:t>. The income threshold at a loan to income ratio of 3.5 is £</w:t>
      </w:r>
      <w:r w:rsidR="001D1D8A">
        <w:t>42,300</w:t>
      </w:r>
      <w:r w:rsidRPr="00044EF5">
        <w:t>.</w:t>
      </w:r>
    </w:p>
    <w:p w14:paraId="40DD6431" w14:textId="1FDC9FC9" w:rsidR="00EF583D" w:rsidRPr="00044EF5" w:rsidRDefault="00EF583D" w:rsidP="00A82210">
      <w:pPr>
        <w:pStyle w:val="ListNumber"/>
      </w:pPr>
      <w:r w:rsidRPr="00044EF5">
        <w:t xml:space="preserve">In practice, developers are likely to price these homes in relation to new build prices, particularly in locations where discounting in relation to entry level prices may not make these homes viable to develop in relation to build costs. When new build prices are discounted by </w:t>
      </w:r>
      <w:r w:rsidR="00DC1088">
        <w:t>3</w:t>
      </w:r>
      <w:r w:rsidRPr="00044EF5">
        <w:t xml:space="preserve">0% they may not offer any discount on entry level prices. </w:t>
      </w:r>
    </w:p>
    <w:p w14:paraId="70166FBA" w14:textId="53B07AD4" w:rsidR="00974888" w:rsidRPr="00044EF5" w:rsidRDefault="00974888" w:rsidP="00A82210">
      <w:pPr>
        <w:pStyle w:val="ListNumber"/>
      </w:pPr>
      <w:r>
        <w:t xml:space="preserve">The income thresholds analysis in the Tenure and Affordability chapter also compares local incomes with the costs of a </w:t>
      </w:r>
      <w:r w:rsidR="006144DE">
        <w:t xml:space="preserve">20%, </w:t>
      </w:r>
      <w:r>
        <w:t>40%</w:t>
      </w:r>
      <w:r w:rsidR="008846FA">
        <w:t xml:space="preserve"> and 50%</w:t>
      </w:r>
      <w:r>
        <w:t xml:space="preserve"> discounted home. This would require an income threshold of £</w:t>
      </w:r>
      <w:r w:rsidR="001D1D8A">
        <w:t>48,343</w:t>
      </w:r>
      <w:r w:rsidR="006144DE">
        <w:t xml:space="preserve">, </w:t>
      </w:r>
      <w:r w:rsidR="001D1D8A">
        <w:t>£36,257</w:t>
      </w:r>
      <w:r w:rsidR="00DC1088">
        <w:t xml:space="preserve"> and £</w:t>
      </w:r>
      <w:r w:rsidR="001D1D8A">
        <w:t>330,214</w:t>
      </w:r>
      <w:r w:rsidR="00DC1088">
        <w:t xml:space="preserve"> respectively</w:t>
      </w:r>
      <w:bookmarkEnd w:id="256"/>
      <w:r>
        <w:t>.</w:t>
      </w:r>
    </w:p>
    <w:p w14:paraId="4D48D313" w14:textId="77777777" w:rsidR="002C2D5C" w:rsidRPr="001D1D8A" w:rsidRDefault="002C2D5C" w:rsidP="00A82210">
      <w:pPr>
        <w:pStyle w:val="ListNumber"/>
        <w:numPr>
          <w:ilvl w:val="0"/>
          <w:numId w:val="0"/>
        </w:numPr>
        <w:ind w:left="425"/>
        <w:rPr>
          <w:b/>
          <w:bCs/>
        </w:rPr>
      </w:pPr>
      <w:bookmarkStart w:id="257" w:name="_Toc518220507"/>
      <w:bookmarkStart w:id="258" w:name="_Toc521492010"/>
      <w:bookmarkStart w:id="259" w:name="_Toc536797465"/>
      <w:bookmarkEnd w:id="252"/>
      <w:bookmarkEnd w:id="253"/>
      <w:bookmarkEnd w:id="254"/>
      <w:r w:rsidRPr="001D1D8A">
        <w:rPr>
          <w:b/>
          <w:bCs/>
        </w:rPr>
        <w:t>Shared ownership</w:t>
      </w:r>
      <w:bookmarkEnd w:id="257"/>
      <w:bookmarkEnd w:id="258"/>
      <w:bookmarkEnd w:id="259"/>
    </w:p>
    <w:p w14:paraId="3BDCFBB9" w14:textId="2926B395" w:rsidR="00FC2544" w:rsidRDefault="002C2D5C" w:rsidP="00A82210">
      <w:pPr>
        <w:pStyle w:val="ListNumber"/>
      </w:pPr>
      <w:r w:rsidRPr="008D6BB7">
        <w:t>Shared ownership involves the purchaser buying an initial share in a property typically of between 25% and 75% and paying rent on the share retained by the provider. Shared ownership is flexible in two respects, in the share which can be purchased and in the rental payable on the share retained by the provider. Both of these are variable. The share owned by the leas</w:t>
      </w:r>
      <w:r w:rsidR="00FC2544">
        <w:t>eholder can be varied by 'staircasing'. Generally, stair</w:t>
      </w:r>
      <w:r w:rsidRPr="008D6BB7">
        <w:t xml:space="preserve">casing will be upward, </w:t>
      </w:r>
      <w:r w:rsidR="00FC2544">
        <w:t xml:space="preserve">thereby </w:t>
      </w:r>
      <w:r w:rsidRPr="008D6BB7">
        <w:t>inc</w:t>
      </w:r>
      <w:r w:rsidR="00FC2544">
        <w:t xml:space="preserve">reasing </w:t>
      </w:r>
      <w:r w:rsidRPr="008D6BB7">
        <w:t>the share owned</w:t>
      </w:r>
      <w:r w:rsidR="00DA2F87">
        <w:t xml:space="preserve"> over time</w:t>
      </w:r>
      <w:r w:rsidRPr="008D6BB7">
        <w:t xml:space="preserve">. </w:t>
      </w:r>
    </w:p>
    <w:p w14:paraId="24B62EC1" w14:textId="2D3006E5" w:rsidR="002C2D5C" w:rsidRPr="008D6BB7" w:rsidRDefault="002C2D5C" w:rsidP="00A82210">
      <w:pPr>
        <w:pStyle w:val="ListNumber"/>
      </w:pPr>
      <w:r w:rsidRPr="008D6BB7">
        <w:t>In exceptional circumstances (</w:t>
      </w:r>
      <w:r w:rsidR="00FC2544">
        <w:t xml:space="preserve">for example, </w:t>
      </w:r>
      <w:r w:rsidRPr="008D6BB7">
        <w:t xml:space="preserve">as a result of financial difficulties, and where the alternative is repossession), and at the discretion of the provider, shared owners may staircase down, thereby reducing the share they own. </w:t>
      </w:r>
      <w:r w:rsidR="00FC2544">
        <w:t xml:space="preserve">Shared equity is available to </w:t>
      </w:r>
      <w:r w:rsidRPr="008D6BB7">
        <w:t xml:space="preserve">first-time buyers, people who have owned a home previously and council and housing association tenants with a good credit rating whose </w:t>
      </w:r>
      <w:r w:rsidR="00FC2544">
        <w:t xml:space="preserve">annual </w:t>
      </w:r>
      <w:r w:rsidRPr="008D6BB7">
        <w:t>household income does not exceed £</w:t>
      </w:r>
      <w:r w:rsidR="00F33034">
        <w:t>8</w:t>
      </w:r>
      <w:r w:rsidRPr="008D6BB7">
        <w:t xml:space="preserve">0,000. </w:t>
      </w:r>
    </w:p>
    <w:p w14:paraId="7C2C78CD" w14:textId="5CCBDA52" w:rsidR="002C2D5C" w:rsidRPr="008D6BB7" w:rsidRDefault="002C2D5C" w:rsidP="00A82210">
      <w:pPr>
        <w:pStyle w:val="ListNumber"/>
      </w:pPr>
      <w:r w:rsidRPr="008D6BB7">
        <w:t xml:space="preserve">To determine the affordability of shared ownership, calculations are based on the </w:t>
      </w:r>
      <w:r w:rsidR="00594B90">
        <w:t>median</w:t>
      </w:r>
      <w:r w:rsidRPr="008D6BB7">
        <w:t xml:space="preserve"> house price of </w:t>
      </w:r>
      <w:r w:rsidR="00FC2544">
        <w:t>£</w:t>
      </w:r>
      <w:r w:rsidR="00572869">
        <w:rPr>
          <w:color w:val="000000" w:themeColor="text1"/>
        </w:rPr>
        <w:t>235,000</w:t>
      </w:r>
      <w:r w:rsidRPr="008D6BB7">
        <w:t>.</w:t>
      </w:r>
      <w:r w:rsidRPr="008D6BB7">
        <w:rPr>
          <w:rStyle w:val="FootnoteReference"/>
          <w:rFonts w:ascii="Arial" w:hAnsi="Arial"/>
          <w:lang w:val="en-GB"/>
        </w:rPr>
        <w:footnoteReference w:id="74"/>
      </w:r>
      <w:r w:rsidR="00FC2544">
        <w:t xml:space="preserve"> The </w:t>
      </w:r>
      <w:r w:rsidRPr="008D6BB7">
        <w:t xml:space="preserve">deposit available to the prospective purchaser is assumed to be 10% of the value of the dwelling, and the standard loan to </w:t>
      </w:r>
      <w:r w:rsidR="00434080">
        <w:t>incom</w:t>
      </w:r>
      <w:r w:rsidRPr="008D6BB7">
        <w:t xml:space="preserve">e ratio of 3.5 is used to calculate the income required to obtain a mortgage. The income required to cover the rental component of the dwelling is based on the assumption that a household spends no more than </w:t>
      </w:r>
      <w:r w:rsidR="00044EF5">
        <w:t>30</w:t>
      </w:r>
      <w:r w:rsidRPr="008D6BB7">
        <w:t>% of the income on rent (as for the income threshold</w:t>
      </w:r>
      <w:r w:rsidR="00D71A01">
        <w:t xml:space="preserve"> for the private rental sector</w:t>
      </w:r>
      <w:r w:rsidRPr="008D6BB7">
        <w:t xml:space="preserve">). </w:t>
      </w:r>
    </w:p>
    <w:p w14:paraId="512356BE" w14:textId="1737EFE2" w:rsidR="002C2D5C" w:rsidRPr="008D6BB7" w:rsidRDefault="002C2D5C" w:rsidP="00A82210">
      <w:pPr>
        <w:pStyle w:val="ListNumber"/>
      </w:pPr>
      <w:r w:rsidRPr="008D6BB7">
        <w:t xml:space="preserve">A 25% equity share of </w:t>
      </w:r>
      <w:r w:rsidR="00D71A01">
        <w:t>£</w:t>
      </w:r>
      <w:r w:rsidR="00572869">
        <w:rPr>
          <w:color w:val="000000" w:themeColor="text1"/>
        </w:rPr>
        <w:t>235,000</w:t>
      </w:r>
      <w:r w:rsidR="005F54A3" w:rsidRPr="008D6BB7">
        <w:t xml:space="preserve"> is</w:t>
      </w:r>
      <w:r w:rsidRPr="008D6BB7">
        <w:t xml:space="preserve"> </w:t>
      </w:r>
      <w:r w:rsidR="00D71A01">
        <w:t>£</w:t>
      </w:r>
      <w:r w:rsidR="00572869">
        <w:t>58,750</w:t>
      </w:r>
      <w:r w:rsidRPr="008D6BB7">
        <w:t xml:space="preserve">, from which a 10% deposit of </w:t>
      </w:r>
      <w:r w:rsidR="00D71A01">
        <w:t>£</w:t>
      </w:r>
      <w:r w:rsidR="00572869">
        <w:rPr>
          <w:color w:val="000000" w:themeColor="text1"/>
        </w:rPr>
        <w:t>5,875</w:t>
      </w:r>
      <w:r w:rsidR="005F54A3" w:rsidRPr="008D6BB7">
        <w:t xml:space="preserve"> is</w:t>
      </w:r>
      <w:r w:rsidR="00D71A01">
        <w:t xml:space="preserve"> deducted</w:t>
      </w:r>
      <w:r w:rsidRPr="008D6BB7">
        <w:t xml:space="preserve">. The mortgage value of </w:t>
      </w:r>
      <w:r w:rsidR="00D71A01">
        <w:t>£</w:t>
      </w:r>
      <w:r w:rsidR="00572869">
        <w:rPr>
          <w:color w:val="000000" w:themeColor="text1"/>
        </w:rPr>
        <w:t>52,875</w:t>
      </w:r>
      <w:r w:rsidRPr="008D6BB7">
        <w:t xml:space="preserve"> (</w:t>
      </w:r>
      <w:r w:rsidR="00D71A01">
        <w:t>£</w:t>
      </w:r>
      <w:r w:rsidR="00572869">
        <w:rPr>
          <w:color w:val="000000" w:themeColor="text1"/>
        </w:rPr>
        <w:t>58,750</w:t>
      </w:r>
      <w:r w:rsidRPr="008D6BB7">
        <w:rPr>
          <w:color w:val="000000" w:themeColor="text1"/>
        </w:rPr>
        <w:t xml:space="preserve"> </w:t>
      </w:r>
      <w:r w:rsidRPr="008D6BB7">
        <w:t xml:space="preserve">- </w:t>
      </w:r>
      <w:r w:rsidR="00D71A01">
        <w:t>£</w:t>
      </w:r>
      <w:r w:rsidR="00572869">
        <w:rPr>
          <w:color w:val="000000" w:themeColor="text1"/>
        </w:rPr>
        <w:t>5,875</w:t>
      </w:r>
      <w:r w:rsidRPr="008D6BB7">
        <w:t xml:space="preserve">) is then divided by 3.5. To secure a mortgage of </w:t>
      </w:r>
      <w:r w:rsidR="00D71A01">
        <w:t>£</w:t>
      </w:r>
      <w:r w:rsidR="00572869">
        <w:rPr>
          <w:color w:val="000000" w:themeColor="text1"/>
        </w:rPr>
        <w:t>52,875</w:t>
      </w:r>
      <w:r w:rsidRPr="008D6BB7">
        <w:t xml:space="preserve">, an annual income of </w:t>
      </w:r>
      <w:r w:rsidR="00D71A01">
        <w:t>£</w:t>
      </w:r>
      <w:r w:rsidR="00572869">
        <w:rPr>
          <w:color w:val="000000" w:themeColor="text1"/>
        </w:rPr>
        <w:t>15,107</w:t>
      </w:r>
      <w:r w:rsidRPr="008D6BB7">
        <w:t xml:space="preserve"> (</w:t>
      </w:r>
      <w:r w:rsidR="00D71A01">
        <w:t>£</w:t>
      </w:r>
      <w:r w:rsidR="00572869">
        <w:rPr>
          <w:color w:val="000000" w:themeColor="text1"/>
        </w:rPr>
        <w:t>52,875</w:t>
      </w:r>
      <w:r w:rsidR="00D71A01">
        <w:t>/</w:t>
      </w:r>
      <w:r w:rsidRPr="008D6BB7">
        <w:t>3.5) is there</w:t>
      </w:r>
      <w:r w:rsidR="00D71A01">
        <w:t xml:space="preserve">fore needed. In addition to </w:t>
      </w:r>
      <w:r w:rsidRPr="008D6BB7">
        <w:t xml:space="preserve">mortgage costs, rent is charged on the remaining 75% shared ownership equity, </w:t>
      </w:r>
      <w:r w:rsidR="002A6328">
        <w:t xml:space="preserve">i.e. </w:t>
      </w:r>
      <w:r w:rsidRPr="008D6BB7">
        <w:t xml:space="preserve">the unsold value of </w:t>
      </w:r>
      <w:r w:rsidR="002A6328">
        <w:t>£</w:t>
      </w:r>
      <w:r w:rsidR="00572869">
        <w:rPr>
          <w:color w:val="000000" w:themeColor="text1"/>
        </w:rPr>
        <w:t>176,250</w:t>
      </w:r>
      <w:r w:rsidRPr="008D6BB7">
        <w:t xml:space="preserve">. An ongoing annual rent equivalent to 2.5% of the value of the unsold equity is assumed, which is </w:t>
      </w:r>
      <w:r w:rsidR="002A6328">
        <w:t>£</w:t>
      </w:r>
      <w:r w:rsidR="00572869">
        <w:rPr>
          <w:color w:val="000000" w:themeColor="text1"/>
        </w:rPr>
        <w:t>4,406</w:t>
      </w:r>
      <w:r w:rsidRPr="008D6BB7">
        <w:t xml:space="preserve"> and requires an income of </w:t>
      </w:r>
      <w:r w:rsidR="002A6328">
        <w:t>£</w:t>
      </w:r>
      <w:r w:rsidR="00572869">
        <w:rPr>
          <w:color w:val="000000" w:themeColor="text1"/>
        </w:rPr>
        <w:t>14,688</w:t>
      </w:r>
      <w:r w:rsidR="00CB5041">
        <w:rPr>
          <w:color w:val="000000" w:themeColor="text1"/>
        </w:rPr>
        <w:t xml:space="preserve"> (multiplied by </w:t>
      </w:r>
      <w:r w:rsidR="00044EF5">
        <w:rPr>
          <w:color w:val="000000" w:themeColor="text1"/>
        </w:rPr>
        <w:t>3.33</w:t>
      </w:r>
      <w:r w:rsidR="00CB5041">
        <w:rPr>
          <w:color w:val="000000" w:themeColor="text1"/>
        </w:rPr>
        <w:t xml:space="preserve"> so that no more than </w:t>
      </w:r>
      <w:r w:rsidR="00044EF5">
        <w:rPr>
          <w:color w:val="000000" w:themeColor="text1"/>
        </w:rPr>
        <w:t>30</w:t>
      </w:r>
      <w:r w:rsidR="00CB5041">
        <w:rPr>
          <w:color w:val="000000" w:themeColor="text1"/>
        </w:rPr>
        <w:t>% of income is spent on rent)</w:t>
      </w:r>
      <w:r w:rsidRPr="008D6BB7">
        <w:t>. Therefore, an income of around</w:t>
      </w:r>
      <w:r w:rsidRPr="00572869">
        <w:rPr>
          <w:b/>
          <w:bCs/>
        </w:rPr>
        <w:t xml:space="preserve"> </w:t>
      </w:r>
      <w:r w:rsidR="002A6328" w:rsidRPr="00572869">
        <w:rPr>
          <w:b/>
          <w:bCs/>
        </w:rPr>
        <w:t>£</w:t>
      </w:r>
      <w:r w:rsidR="00572869">
        <w:rPr>
          <w:b/>
          <w:color w:val="000000" w:themeColor="text1"/>
        </w:rPr>
        <w:t xml:space="preserve">29,795 </w:t>
      </w:r>
      <w:r w:rsidRPr="008D6BB7">
        <w:t>(</w:t>
      </w:r>
      <w:r w:rsidR="002A6328">
        <w:t>£</w:t>
      </w:r>
      <w:r w:rsidR="00572869">
        <w:rPr>
          <w:color w:val="000000" w:themeColor="text1"/>
        </w:rPr>
        <w:t>15,107</w:t>
      </w:r>
      <w:r w:rsidRPr="008D6BB7">
        <w:t xml:space="preserve"> + </w:t>
      </w:r>
      <w:r w:rsidR="002A6328">
        <w:t>£</w:t>
      </w:r>
      <w:r w:rsidR="00572869">
        <w:rPr>
          <w:color w:val="000000" w:themeColor="text1"/>
        </w:rPr>
        <w:t>14,688</w:t>
      </w:r>
      <w:r w:rsidRPr="008D6BB7">
        <w:t xml:space="preserve">) is required to afford a 25% shared equity purchase of an entry-level </w:t>
      </w:r>
      <w:r w:rsidR="00CB5041">
        <w:t>home</w:t>
      </w:r>
      <w:r w:rsidRPr="008D6BB7">
        <w:t>.</w:t>
      </w:r>
      <w:r w:rsidR="00EF583D">
        <w:t xml:space="preserve"> The same calculations were undertaken for equity shares of 50% and 75%, producing income thresholds of </w:t>
      </w:r>
      <w:r w:rsidR="00572869">
        <w:t>£40,006</w:t>
      </w:r>
      <w:r w:rsidR="00EF583D">
        <w:t xml:space="preserve"> and </w:t>
      </w:r>
      <w:r w:rsidR="00572869">
        <w:t>£50,217</w:t>
      </w:r>
      <w:r w:rsidR="00EF583D">
        <w:t xml:space="preserve"> respectively. </w:t>
      </w:r>
    </w:p>
    <w:p w14:paraId="4E2571BA" w14:textId="77777777" w:rsidR="0011536F" w:rsidRDefault="0011536F" w:rsidP="00A82210">
      <w:pPr>
        <w:pStyle w:val="ListNumber"/>
        <w:numPr>
          <w:ilvl w:val="0"/>
          <w:numId w:val="0"/>
        </w:numPr>
        <w:ind w:left="425"/>
      </w:pPr>
    </w:p>
    <w:p w14:paraId="65DFF372" w14:textId="5B8B36A0" w:rsidR="00BA41FF" w:rsidRDefault="00BA41FF">
      <w:pPr>
        <w:spacing w:before="0" w:after="0" w:line="240" w:lineRule="auto"/>
        <w:rPr>
          <w:sz w:val="18"/>
          <w:szCs w:val="18"/>
        </w:rPr>
      </w:pPr>
      <w:r>
        <w:rPr>
          <w:sz w:val="18"/>
          <w:szCs w:val="18"/>
        </w:rPr>
        <w:br w:type="page"/>
      </w:r>
    </w:p>
    <w:p w14:paraId="153DDC97" w14:textId="77777777" w:rsidR="002C2D5C" w:rsidRDefault="002C2D5C" w:rsidP="002C2D5C">
      <w:pPr>
        <w:pStyle w:val="Appendix"/>
        <w:jc w:val="both"/>
      </w:pPr>
      <w:bookmarkStart w:id="260" w:name="_Ref4056142"/>
      <w:bookmarkStart w:id="261" w:name="_Ref4056155"/>
      <w:bookmarkStart w:id="262" w:name="_Toc64026838"/>
      <w:r>
        <w:t>: Housing Needs Assessment Glossary</w:t>
      </w:r>
      <w:bookmarkEnd w:id="260"/>
      <w:bookmarkEnd w:id="261"/>
      <w:bookmarkEnd w:id="262"/>
    </w:p>
    <w:p w14:paraId="408F62C2" w14:textId="77777777" w:rsidR="00AC41F0" w:rsidRPr="00A50BD6" w:rsidRDefault="00AC41F0" w:rsidP="00AC41F0">
      <w:pPr>
        <w:pStyle w:val="BodyText"/>
        <w:jc w:val="both"/>
        <w:rPr>
          <w:b/>
          <w:sz w:val="18"/>
          <w:szCs w:val="18"/>
        </w:rPr>
      </w:pPr>
      <w:r w:rsidRPr="00A50BD6">
        <w:rPr>
          <w:b/>
          <w:sz w:val="18"/>
          <w:szCs w:val="18"/>
        </w:rPr>
        <w:t>Adoption</w:t>
      </w:r>
    </w:p>
    <w:p w14:paraId="57CC7BAD" w14:textId="77777777" w:rsidR="00AC41F0" w:rsidRPr="00A50BD6" w:rsidRDefault="00AC41F0" w:rsidP="00AC41F0">
      <w:pPr>
        <w:pStyle w:val="BodyText"/>
        <w:jc w:val="both"/>
        <w:rPr>
          <w:sz w:val="18"/>
          <w:szCs w:val="18"/>
        </w:rPr>
      </w:pPr>
      <w:r w:rsidRPr="00A50BD6">
        <w:rPr>
          <w:sz w:val="18"/>
          <w:szCs w:val="18"/>
        </w:rPr>
        <w:t>This refers to the final confirmation of a local plan by a local planning authority.</w:t>
      </w:r>
    </w:p>
    <w:p w14:paraId="5AB17576" w14:textId="77777777" w:rsidR="00AC41F0" w:rsidRPr="00A50BD6" w:rsidRDefault="00AC41F0" w:rsidP="00AC41F0">
      <w:pPr>
        <w:pStyle w:val="BodyText"/>
        <w:jc w:val="both"/>
        <w:rPr>
          <w:b/>
          <w:sz w:val="18"/>
          <w:szCs w:val="18"/>
        </w:rPr>
      </w:pPr>
      <w:r w:rsidRPr="00A50BD6">
        <w:rPr>
          <w:b/>
          <w:sz w:val="18"/>
          <w:szCs w:val="18"/>
        </w:rPr>
        <w:t>Affordability</w:t>
      </w:r>
    </w:p>
    <w:p w14:paraId="64F412FF" w14:textId="77777777" w:rsidR="00AC41F0" w:rsidRPr="00A50BD6" w:rsidRDefault="00AC41F0" w:rsidP="00AC41F0">
      <w:pPr>
        <w:pStyle w:val="BodyText"/>
        <w:jc w:val="both"/>
        <w:rPr>
          <w:sz w:val="18"/>
          <w:szCs w:val="18"/>
        </w:rPr>
      </w:pPr>
      <w:r w:rsidRPr="00A50BD6">
        <w:rPr>
          <w:sz w:val="18"/>
          <w:szCs w:val="18"/>
        </w:rPr>
        <w:t xml:space="preserve">The terms ‘affordability’ and ‘affordable housing’ have different meanings. ‘Affordability’ is a measure of whether housing may be afforded by certain groups of households. ‘Affordable housing’ refers to particular products outside the main housing market. </w:t>
      </w:r>
    </w:p>
    <w:p w14:paraId="0289A665" w14:textId="77777777" w:rsidR="00AC41F0" w:rsidRPr="00A50BD6" w:rsidRDefault="00AC41F0" w:rsidP="00AC41F0">
      <w:pPr>
        <w:pStyle w:val="BodyText"/>
        <w:jc w:val="both"/>
        <w:rPr>
          <w:b/>
          <w:color w:val="4A4A49"/>
          <w:sz w:val="18"/>
          <w:szCs w:val="18"/>
        </w:rPr>
      </w:pPr>
      <w:r w:rsidRPr="00A50BD6">
        <w:rPr>
          <w:b/>
          <w:sz w:val="18"/>
          <w:szCs w:val="18"/>
        </w:rPr>
        <w:t>Affordability Ratio</w:t>
      </w:r>
    </w:p>
    <w:p w14:paraId="75C1176D" w14:textId="08EF7F22" w:rsidR="00AC41F0" w:rsidRPr="00A50BD6" w:rsidRDefault="00AC41F0" w:rsidP="00AC41F0">
      <w:pPr>
        <w:pStyle w:val="BodyText"/>
        <w:jc w:val="both"/>
        <w:rPr>
          <w:sz w:val="18"/>
          <w:szCs w:val="18"/>
        </w:rPr>
      </w:pPr>
      <w:r w:rsidRPr="00A50BD6">
        <w:rPr>
          <w:sz w:val="18"/>
          <w:szCs w:val="18"/>
        </w:rPr>
        <w:t>Assessing affordability involves comparing hous</w:t>
      </w:r>
      <w:r w:rsidR="0084044B">
        <w:rPr>
          <w:sz w:val="18"/>
          <w:szCs w:val="18"/>
        </w:rPr>
        <w:t>ing</w:t>
      </w:r>
      <w:r w:rsidRPr="00A50BD6">
        <w:rPr>
          <w:sz w:val="18"/>
          <w:szCs w:val="18"/>
        </w:rPr>
        <w:t xml:space="preserve"> costs against the ability to pay. The ratio between lower quartile house prices and the lower quartile income or earnings can be used to assess the relative affordability of housing. The Ministry for Housing, Community and Local Governments publishes quarterly the ratio of lower quartile house price to lower quartile earnings by local authority (LQAR) as well as median house price to median earnings by local authority (MAR) e.g. income = £25,000, house price = £200,000.   House price: income ratio = £200,000/£25,000 = 8, (the house price is 8 times income).</w:t>
      </w:r>
    </w:p>
    <w:p w14:paraId="0BACAD49" w14:textId="77777777" w:rsidR="00AC41F0" w:rsidRPr="00A50BD6" w:rsidRDefault="00AC41F0" w:rsidP="00AC41F0">
      <w:pPr>
        <w:pStyle w:val="BodyText"/>
        <w:jc w:val="both"/>
        <w:rPr>
          <w:b/>
          <w:sz w:val="18"/>
          <w:szCs w:val="18"/>
        </w:rPr>
      </w:pPr>
      <w:r w:rsidRPr="00A50BD6">
        <w:rPr>
          <w:b/>
          <w:sz w:val="18"/>
          <w:szCs w:val="18"/>
        </w:rPr>
        <w:t>Affordable Housing (NPPF Definition)</w:t>
      </w:r>
    </w:p>
    <w:p w14:paraId="7A80774C" w14:textId="77777777" w:rsidR="00AC41F0" w:rsidRPr="0051362C" w:rsidRDefault="00AC41F0" w:rsidP="00AC41F0">
      <w:pPr>
        <w:spacing w:after="180"/>
        <w:jc w:val="both"/>
        <w:rPr>
          <w:sz w:val="18"/>
          <w:szCs w:val="18"/>
        </w:rPr>
      </w:pPr>
      <w:r w:rsidRPr="0051362C">
        <w:rPr>
          <w:sz w:val="18"/>
          <w:szCs w:val="18"/>
        </w:rPr>
        <w:t>Housing for sale or rent, for those whose needs are not met by the market (including housing that provides a subsidised route to home ownership and/or is for essential local workers); and which complies with one or more of the following definitions:</w:t>
      </w:r>
    </w:p>
    <w:p w14:paraId="2D6D9E24" w14:textId="6838CABA" w:rsidR="00AC41F0" w:rsidRPr="0051362C" w:rsidRDefault="00AC41F0" w:rsidP="00AC41F0">
      <w:pPr>
        <w:spacing w:after="180"/>
        <w:jc w:val="both"/>
        <w:rPr>
          <w:sz w:val="18"/>
          <w:szCs w:val="18"/>
        </w:rPr>
      </w:pPr>
      <w:r w:rsidRPr="0051362C">
        <w:rPr>
          <w:sz w:val="18"/>
          <w:szCs w:val="18"/>
        </w:rPr>
        <w:t>a) Affordable housing for rent: meets all of the following conditions: (a) the rent is set in accordance with the Government’s rent policy for Social Rent 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w:t>
      </w:r>
    </w:p>
    <w:p w14:paraId="1BE1D4EA" w14:textId="42729039" w:rsidR="00AC41F0" w:rsidRPr="0051362C" w:rsidRDefault="007B0F7A" w:rsidP="00AC41F0">
      <w:pPr>
        <w:spacing w:after="180"/>
        <w:jc w:val="both"/>
        <w:rPr>
          <w:sz w:val="18"/>
          <w:szCs w:val="18"/>
        </w:rPr>
      </w:pPr>
      <w:r>
        <w:rPr>
          <w:sz w:val="18"/>
          <w:szCs w:val="18"/>
        </w:rPr>
        <w:t>b</w:t>
      </w:r>
      <w:r w:rsidR="00AC41F0" w:rsidRPr="0051362C">
        <w:rPr>
          <w:sz w:val="18"/>
          <w:szCs w:val="18"/>
        </w:rPr>
        <w:t>) Discounted market sales housing: is that sold at a discount of at least 20% below local market value. Eligibility is determined with regard to local incomes and local house prices. Provisions should be in place to ensure housing remains at a discount for future eligible households.</w:t>
      </w:r>
    </w:p>
    <w:p w14:paraId="41B1D79F" w14:textId="34DE3395" w:rsidR="00AC41F0" w:rsidRPr="0051362C" w:rsidRDefault="007B0F7A" w:rsidP="00AC41F0">
      <w:pPr>
        <w:spacing w:after="180"/>
        <w:jc w:val="both"/>
        <w:rPr>
          <w:sz w:val="18"/>
          <w:szCs w:val="18"/>
        </w:rPr>
      </w:pPr>
      <w:r>
        <w:rPr>
          <w:sz w:val="18"/>
          <w:szCs w:val="18"/>
        </w:rPr>
        <w:t>c</w:t>
      </w:r>
      <w:r w:rsidR="00AC41F0" w:rsidRPr="0051362C">
        <w:rPr>
          <w:sz w:val="18"/>
          <w:szCs w:val="18"/>
        </w:rPr>
        <w:t>) Other affordable routes to home ownership: is housing provided for sale that provides a route to ownership for those who could not achieve home ownership through the market. It includes shared ownership, r</w:t>
      </w:r>
      <w:r w:rsidR="00AC41F0">
        <w:rPr>
          <w:sz w:val="18"/>
          <w:szCs w:val="18"/>
        </w:rPr>
        <w:t>elevant equity loans, other low-</w:t>
      </w:r>
      <w:r w:rsidR="00AC41F0" w:rsidRPr="0051362C">
        <w:rPr>
          <w:sz w:val="18"/>
          <w:szCs w:val="18"/>
        </w:rPr>
        <w:t>cost homes for sale (at a price equivalent to at least 20% below local market value) and rent to buy (which includes a period of intermediate rent). Where public grant funding is provided, there should be provisions for the homes to remain at an affordable price for future eligible households, or for any receipts to be recycled for alternative affordable housing provision, or refunded to Government or the relevant authority specified in the funding agreement.</w:t>
      </w:r>
    </w:p>
    <w:p w14:paraId="5EA9B498" w14:textId="77777777" w:rsidR="00AC41F0" w:rsidRPr="00A50BD6" w:rsidRDefault="00AC41F0" w:rsidP="00AC41F0">
      <w:pPr>
        <w:pStyle w:val="BodyText"/>
        <w:jc w:val="both"/>
        <w:rPr>
          <w:b/>
          <w:sz w:val="18"/>
          <w:szCs w:val="18"/>
        </w:rPr>
      </w:pPr>
      <w:r w:rsidRPr="00A50BD6">
        <w:rPr>
          <w:b/>
          <w:sz w:val="18"/>
          <w:szCs w:val="18"/>
        </w:rPr>
        <w:t>Affordable rented housing</w:t>
      </w:r>
    </w:p>
    <w:p w14:paraId="2F821026" w14:textId="77777777" w:rsidR="00AC41F0" w:rsidRPr="00A50BD6" w:rsidRDefault="00AC41F0" w:rsidP="00AC41F0">
      <w:pPr>
        <w:pStyle w:val="BodyText"/>
        <w:jc w:val="both"/>
        <w:rPr>
          <w:sz w:val="18"/>
          <w:szCs w:val="18"/>
        </w:rPr>
      </w:pPr>
      <w:r w:rsidRPr="00A50BD6">
        <w:rPr>
          <w:sz w:val="18"/>
          <w:szCs w:val="18"/>
        </w:rPr>
        <w:t>Rented housing let by registered providers of social housing to households who are eligible for social rented housing. Affordable Rent is not subject to the national rent regime but is subject to other rent controls that require a rent of no more than</w:t>
      </w:r>
      <w:r>
        <w:rPr>
          <w:sz w:val="18"/>
          <w:szCs w:val="18"/>
        </w:rPr>
        <w:t xml:space="preserve"> 80% of the local market rent (i</w:t>
      </w:r>
      <w:r w:rsidRPr="00A50BD6">
        <w:rPr>
          <w:sz w:val="18"/>
          <w:szCs w:val="18"/>
        </w:rPr>
        <w:t>ncluding service charges, where applicable). The national rent regime is the regime under which the social rents of tenants of social housing are set, with particular reference to the Guide to Social Rent Reforms (March 2001) and the Rent Influencing Regime Guidance (October 2001). Local market rents are calculated using the Royal Institution for Chartered Surveyors (RICS) approved valuation methods</w:t>
      </w:r>
      <w:r w:rsidRPr="00A50BD6">
        <w:rPr>
          <w:rStyle w:val="FootnoteReference"/>
          <w:sz w:val="18"/>
          <w:szCs w:val="18"/>
        </w:rPr>
        <w:footnoteReference w:id="75"/>
      </w:r>
      <w:r w:rsidRPr="00A50BD6">
        <w:rPr>
          <w:sz w:val="18"/>
          <w:szCs w:val="18"/>
        </w:rPr>
        <w:t xml:space="preserve">. </w:t>
      </w:r>
    </w:p>
    <w:p w14:paraId="2BB24EFB" w14:textId="77777777" w:rsidR="00AC41F0" w:rsidRDefault="00AC41F0" w:rsidP="00AC41F0">
      <w:pPr>
        <w:pStyle w:val="BodyText"/>
        <w:jc w:val="both"/>
        <w:rPr>
          <w:b/>
          <w:sz w:val="18"/>
          <w:szCs w:val="18"/>
        </w:rPr>
      </w:pPr>
      <w:r w:rsidRPr="00047BE3">
        <w:rPr>
          <w:b/>
          <w:sz w:val="18"/>
          <w:szCs w:val="18"/>
        </w:rPr>
        <w:t>Age-Restricted General Market Housin</w:t>
      </w:r>
      <w:r>
        <w:rPr>
          <w:b/>
          <w:sz w:val="18"/>
          <w:szCs w:val="18"/>
        </w:rPr>
        <w:t>g</w:t>
      </w:r>
    </w:p>
    <w:p w14:paraId="728CD077" w14:textId="36000F88" w:rsidR="00AC41F0" w:rsidRPr="00047BE3" w:rsidRDefault="00AC41F0" w:rsidP="00AC41F0">
      <w:pPr>
        <w:pStyle w:val="BodyText"/>
        <w:jc w:val="both"/>
        <w:rPr>
          <w:sz w:val="18"/>
          <w:szCs w:val="18"/>
        </w:rPr>
      </w:pPr>
      <w:r>
        <w:rPr>
          <w:sz w:val="18"/>
          <w:szCs w:val="18"/>
        </w:rPr>
        <w:t>A</w:t>
      </w:r>
      <w:r w:rsidRPr="00047BE3">
        <w:rPr>
          <w:sz w:val="18"/>
          <w:szCs w:val="18"/>
        </w:rPr>
        <w:t xml:space="preserve"> type of housing </w:t>
      </w:r>
      <w:r w:rsidR="0084044B">
        <w:rPr>
          <w:sz w:val="18"/>
          <w:szCs w:val="18"/>
        </w:rPr>
        <w:t xml:space="preserve">which </w:t>
      </w:r>
      <w:r w:rsidRPr="00047BE3">
        <w:rPr>
          <w:sz w:val="18"/>
          <w:szCs w:val="18"/>
        </w:rPr>
        <w:t>is generally for people aged 55 and over and the active elderly. It may include some shared amenities such as communal gardens but does not include support or care services.</w:t>
      </w:r>
    </w:p>
    <w:p w14:paraId="1F266AE8" w14:textId="77777777" w:rsidR="00AC41F0" w:rsidRPr="00A50BD6" w:rsidRDefault="00AC41F0" w:rsidP="00AC41F0">
      <w:pPr>
        <w:pStyle w:val="BodyText"/>
        <w:jc w:val="both"/>
        <w:rPr>
          <w:b/>
          <w:sz w:val="18"/>
          <w:szCs w:val="18"/>
        </w:rPr>
      </w:pPr>
      <w:r w:rsidRPr="00A50BD6">
        <w:rPr>
          <w:b/>
          <w:sz w:val="18"/>
          <w:szCs w:val="18"/>
        </w:rPr>
        <w:t>Annual Monitoring Report</w:t>
      </w:r>
    </w:p>
    <w:p w14:paraId="1FDFFB8F" w14:textId="77777777" w:rsidR="00AC41F0" w:rsidRPr="00A50BD6" w:rsidRDefault="00AC41F0" w:rsidP="00AC41F0">
      <w:pPr>
        <w:pStyle w:val="BodyText"/>
        <w:jc w:val="both"/>
        <w:rPr>
          <w:sz w:val="18"/>
          <w:szCs w:val="18"/>
        </w:rPr>
      </w:pPr>
      <w:r w:rsidRPr="00A50BD6">
        <w:rPr>
          <w:sz w:val="18"/>
          <w:szCs w:val="18"/>
        </w:rPr>
        <w:t>A report submitted to the Government by local planning authorities assessing progress with and the effectiveness of a Local Development Framework.</w:t>
      </w:r>
    </w:p>
    <w:p w14:paraId="6EC2560B" w14:textId="77777777" w:rsidR="00AC41F0" w:rsidRPr="00A50BD6" w:rsidRDefault="00AC41F0" w:rsidP="00AC41F0">
      <w:pPr>
        <w:pStyle w:val="BodyText"/>
        <w:jc w:val="both"/>
        <w:rPr>
          <w:b/>
          <w:sz w:val="18"/>
          <w:szCs w:val="18"/>
        </w:rPr>
      </w:pPr>
      <w:r w:rsidRPr="00A50BD6">
        <w:rPr>
          <w:b/>
          <w:sz w:val="18"/>
          <w:szCs w:val="18"/>
        </w:rPr>
        <w:t xml:space="preserve">Basic Conditions </w:t>
      </w:r>
    </w:p>
    <w:p w14:paraId="306BCD92" w14:textId="77777777" w:rsidR="00AC41F0" w:rsidRPr="00A50BD6" w:rsidRDefault="00AC41F0" w:rsidP="00AC41F0">
      <w:pPr>
        <w:pStyle w:val="BodyText"/>
        <w:jc w:val="both"/>
        <w:rPr>
          <w:sz w:val="18"/>
          <w:szCs w:val="18"/>
        </w:rPr>
      </w:pPr>
      <w:r w:rsidRPr="008D49A0">
        <w:rPr>
          <w:sz w:val="18"/>
          <w:szCs w:val="18"/>
        </w:rPr>
        <w:t>The Basic Conditions are the legal tests that are considered at the examination stage of neighbourhood development plans. They need to be met before a plan can progress to referendum</w:t>
      </w:r>
      <w:r w:rsidRPr="00A50BD6">
        <w:rPr>
          <w:sz w:val="18"/>
          <w:szCs w:val="18"/>
        </w:rPr>
        <w:t xml:space="preserve">. </w:t>
      </w:r>
    </w:p>
    <w:p w14:paraId="32BA3155" w14:textId="77777777" w:rsidR="00AC41F0" w:rsidRPr="00A50BD6" w:rsidRDefault="00AC41F0" w:rsidP="00AC41F0">
      <w:pPr>
        <w:jc w:val="both"/>
        <w:rPr>
          <w:b/>
          <w:sz w:val="18"/>
          <w:szCs w:val="18"/>
        </w:rPr>
      </w:pPr>
      <w:r w:rsidRPr="00A50BD6">
        <w:rPr>
          <w:b/>
          <w:sz w:val="18"/>
          <w:szCs w:val="18"/>
        </w:rPr>
        <w:t>Backlog need</w:t>
      </w:r>
    </w:p>
    <w:p w14:paraId="2C0354CF" w14:textId="77777777" w:rsidR="00AC41F0" w:rsidRPr="00A50BD6" w:rsidRDefault="00AC41F0" w:rsidP="00AC41F0">
      <w:pPr>
        <w:pStyle w:val="BodyText"/>
        <w:jc w:val="both"/>
        <w:rPr>
          <w:sz w:val="18"/>
          <w:szCs w:val="18"/>
        </w:rPr>
      </w:pPr>
      <w:r w:rsidRPr="00A50BD6">
        <w:rPr>
          <w:sz w:val="18"/>
          <w:szCs w:val="18"/>
        </w:rPr>
        <w:t xml:space="preserve">The backlog need constitutes those households who are eligible for Affordable Housing, on account of homelessness, over-crowding, concealment or affordability, but who are yet to be offered a home suited to their needs. </w:t>
      </w:r>
    </w:p>
    <w:p w14:paraId="16D95541" w14:textId="77777777" w:rsidR="00AC41F0" w:rsidRPr="00A50BD6" w:rsidRDefault="00AC41F0" w:rsidP="00AC41F0">
      <w:pPr>
        <w:jc w:val="both"/>
        <w:rPr>
          <w:sz w:val="18"/>
          <w:szCs w:val="18"/>
        </w:rPr>
      </w:pPr>
      <w:r w:rsidRPr="00A50BD6">
        <w:rPr>
          <w:b/>
          <w:sz w:val="18"/>
          <w:szCs w:val="18"/>
        </w:rPr>
        <w:t>Bedroom Standard</w:t>
      </w:r>
      <w:r w:rsidRPr="00A50BD6">
        <w:rPr>
          <w:rStyle w:val="FootnoteReference"/>
          <w:b/>
          <w:sz w:val="18"/>
          <w:szCs w:val="18"/>
        </w:rPr>
        <w:footnoteReference w:id="76"/>
      </w:r>
    </w:p>
    <w:p w14:paraId="2AA8601A" w14:textId="77777777" w:rsidR="00AC41F0" w:rsidRDefault="00AC41F0" w:rsidP="00AC41F0">
      <w:pPr>
        <w:pStyle w:val="BodyText"/>
        <w:jc w:val="both"/>
        <w:rPr>
          <w:sz w:val="18"/>
          <w:szCs w:val="18"/>
        </w:rPr>
      </w:pPr>
      <w:r w:rsidRPr="00A50BD6">
        <w:rPr>
          <w:sz w:val="18"/>
          <w:szCs w:val="18"/>
        </w:rPr>
        <w:t>The bedroom standard is a measure of occupancy (whether a property is overcrowded or under</w:t>
      </w:r>
      <w:r w:rsidRPr="00A50BD6">
        <w:rPr>
          <w:rFonts w:ascii="Cambria Math" w:hAnsi="Cambria Math" w:cs="Cambria Math"/>
          <w:sz w:val="18"/>
          <w:szCs w:val="18"/>
        </w:rPr>
        <w:t>‐</w:t>
      </w:r>
      <w:r w:rsidRPr="00A50BD6">
        <w:rPr>
          <w:sz w:val="18"/>
          <w:szCs w:val="18"/>
        </w:rPr>
        <w:t>occupied, based on the number of bedrooms in a property and the type of household in residence). The Census overcrowding data is based on occupancy rating (overcrowding by number of rooms not including bathrooms and hallways). This tends to produce higher levels of overcrowding/ under occupation. A detailed definition of the standard is given in the Glossary of the EHS Household Report.</w:t>
      </w:r>
    </w:p>
    <w:p w14:paraId="187B95D9" w14:textId="77777777" w:rsidR="00AC41F0" w:rsidRPr="00A50BD6" w:rsidRDefault="00AC41F0" w:rsidP="00AC41F0">
      <w:pPr>
        <w:pStyle w:val="BodyText"/>
        <w:jc w:val="both"/>
        <w:rPr>
          <w:b/>
          <w:sz w:val="18"/>
          <w:szCs w:val="18"/>
        </w:rPr>
      </w:pPr>
      <w:r w:rsidRPr="00A50BD6">
        <w:rPr>
          <w:b/>
          <w:sz w:val="18"/>
          <w:szCs w:val="18"/>
        </w:rPr>
        <w:t>Co-living</w:t>
      </w:r>
    </w:p>
    <w:p w14:paraId="5830557C" w14:textId="77777777" w:rsidR="00AC41F0" w:rsidRPr="00A50BD6" w:rsidRDefault="00AC41F0" w:rsidP="00AC41F0">
      <w:pPr>
        <w:pStyle w:val="BodyText"/>
        <w:jc w:val="both"/>
        <w:rPr>
          <w:sz w:val="18"/>
          <w:szCs w:val="18"/>
        </w:rPr>
      </w:pPr>
      <w:r w:rsidRPr="00A50BD6">
        <w:rPr>
          <w:sz w:val="18"/>
          <w:szCs w:val="18"/>
        </w:rPr>
        <w:t>Co-living denotes people who do not have family ties sharing either a self-contained dwelling (i.e., a 'house share') or new development akin to student housing in which people have a bedroom and bathroom to themselves, but share living and kitchen space with others. In co-living schemes each individual represents a separate 'household'.</w:t>
      </w:r>
    </w:p>
    <w:p w14:paraId="514C63F7" w14:textId="77777777" w:rsidR="00AC41F0" w:rsidRPr="00A50BD6" w:rsidRDefault="00AC41F0" w:rsidP="00AC41F0">
      <w:pPr>
        <w:pStyle w:val="BodyText"/>
        <w:jc w:val="both"/>
        <w:rPr>
          <w:b/>
          <w:sz w:val="18"/>
          <w:szCs w:val="18"/>
        </w:rPr>
      </w:pPr>
      <w:r w:rsidRPr="00A50BD6">
        <w:rPr>
          <w:b/>
          <w:sz w:val="18"/>
          <w:szCs w:val="18"/>
        </w:rPr>
        <w:t>Community Led Housing/Community Land Trusts</w:t>
      </w:r>
    </w:p>
    <w:p w14:paraId="7AA3E679" w14:textId="77777777" w:rsidR="00AC41F0" w:rsidRPr="00A50BD6" w:rsidRDefault="00AC41F0" w:rsidP="00AC41F0">
      <w:pPr>
        <w:pStyle w:val="BodyText"/>
        <w:jc w:val="both"/>
        <w:rPr>
          <w:sz w:val="18"/>
          <w:szCs w:val="18"/>
        </w:rPr>
      </w:pPr>
      <w:r w:rsidRPr="00A50BD6">
        <w:rPr>
          <w:sz w:val="18"/>
          <w:szCs w:val="18"/>
        </w:rPr>
        <w:t>Housing development, provision and management that is led by the community is very often driven by a need to secure affordable housing for local people in the belief that housing that comes through the planning system may be neither the right tenure or price-point to be attractive or affordable to local people. The principle forms of community-led models include cooperatives, co-housing communities, self-help housing, community self-build housing, collective custom-build housing, and community land trusts. By bringing forward development which is owned by the community, the community is able to set rents and/or mortgage payments at a rate that it feels is appropriate. The Government has a range of support programmes for people interested in bringing forward community led housing.</w:t>
      </w:r>
    </w:p>
    <w:p w14:paraId="7CCDB7CC" w14:textId="77777777" w:rsidR="00AC41F0" w:rsidRPr="00A50BD6" w:rsidRDefault="00AC41F0" w:rsidP="00AC41F0">
      <w:pPr>
        <w:pStyle w:val="BodyText"/>
        <w:jc w:val="both"/>
        <w:rPr>
          <w:b/>
          <w:sz w:val="18"/>
          <w:szCs w:val="18"/>
        </w:rPr>
      </w:pPr>
      <w:r w:rsidRPr="00A50BD6">
        <w:rPr>
          <w:b/>
          <w:sz w:val="18"/>
          <w:szCs w:val="18"/>
        </w:rPr>
        <w:t>Community Right to Build Order</w:t>
      </w:r>
      <w:r w:rsidRPr="00A50BD6">
        <w:rPr>
          <w:rStyle w:val="FootnoteReference"/>
          <w:b/>
          <w:sz w:val="18"/>
          <w:szCs w:val="18"/>
        </w:rPr>
        <w:footnoteReference w:id="77"/>
      </w:r>
    </w:p>
    <w:p w14:paraId="7B111972" w14:textId="77777777" w:rsidR="00AC41F0" w:rsidRDefault="00AC41F0" w:rsidP="00AC41F0">
      <w:pPr>
        <w:pStyle w:val="BodyText"/>
        <w:jc w:val="both"/>
        <w:rPr>
          <w:sz w:val="18"/>
          <w:szCs w:val="18"/>
        </w:rPr>
      </w:pPr>
      <w:r w:rsidRPr="00233004">
        <w:rPr>
          <w:sz w:val="18"/>
          <w:szCs w:val="18"/>
        </w:rPr>
        <w:t>A community right to build order is a special kind of neighbourhood development order, grantin</w:t>
      </w:r>
      <w:r>
        <w:rPr>
          <w:sz w:val="18"/>
          <w:szCs w:val="18"/>
        </w:rPr>
        <w:t>g planning permission for small</w:t>
      </w:r>
      <w:r w:rsidRPr="00233004">
        <w:rPr>
          <w:sz w:val="18"/>
          <w:szCs w:val="18"/>
        </w:rPr>
        <w:t xml:space="preserve"> community development schemes, such as housing or new community facilities. Local community organisations that meet certain requirements or parish/town councils are able to prepare community right to build orders</w:t>
      </w:r>
      <w:r>
        <w:rPr>
          <w:sz w:val="18"/>
          <w:szCs w:val="18"/>
        </w:rPr>
        <w:t>.</w:t>
      </w:r>
    </w:p>
    <w:p w14:paraId="5A0A32DB" w14:textId="77777777" w:rsidR="00AC41F0" w:rsidRPr="00A50BD6" w:rsidRDefault="00AC41F0" w:rsidP="00AC41F0">
      <w:pPr>
        <w:pStyle w:val="BodyText"/>
        <w:jc w:val="both"/>
        <w:rPr>
          <w:b/>
          <w:sz w:val="18"/>
          <w:szCs w:val="18"/>
        </w:rPr>
      </w:pPr>
      <w:r w:rsidRPr="00A50BD6">
        <w:rPr>
          <w:b/>
          <w:sz w:val="18"/>
          <w:szCs w:val="18"/>
        </w:rPr>
        <w:t>Concealed Fami</w:t>
      </w:r>
      <w:r>
        <w:rPr>
          <w:b/>
          <w:sz w:val="18"/>
          <w:szCs w:val="18"/>
        </w:rPr>
        <w:t>lies (Census d</w:t>
      </w:r>
      <w:r w:rsidRPr="00A50BD6">
        <w:rPr>
          <w:b/>
          <w:sz w:val="18"/>
          <w:szCs w:val="18"/>
        </w:rPr>
        <w:t>efinition)</w:t>
      </w:r>
      <w:r w:rsidRPr="00A50BD6">
        <w:rPr>
          <w:rStyle w:val="FootnoteReference"/>
          <w:b/>
          <w:sz w:val="18"/>
          <w:szCs w:val="18"/>
        </w:rPr>
        <w:footnoteReference w:id="78"/>
      </w:r>
    </w:p>
    <w:p w14:paraId="544DF2EB" w14:textId="77777777" w:rsidR="00AC41F0" w:rsidRDefault="00AC41F0" w:rsidP="00AC41F0">
      <w:pPr>
        <w:pStyle w:val="BodyText"/>
        <w:jc w:val="both"/>
        <w:rPr>
          <w:sz w:val="18"/>
          <w:szCs w:val="18"/>
        </w:rPr>
      </w:pPr>
      <w:r w:rsidRPr="00A50BD6">
        <w:rPr>
          <w:sz w:val="18"/>
          <w:szCs w:val="18"/>
        </w:rPr>
        <w:t>The 2011 Census defined a concealed family as one with young adults living with a partner and/or child/children in the same household as their parents, older couples living with an adult child and their family or unrelated families sharing a household. A single person cannot be a concealed family; therefore one elderly parent living with their adult child and family or an adult child returning to the parental home is not a concealed family; the latter are reported in an ONS analysis on increasing numbers of young adults living with parents.</w:t>
      </w:r>
    </w:p>
    <w:p w14:paraId="4D6D08C6" w14:textId="77777777" w:rsidR="00AC41F0" w:rsidRPr="00A50BD6" w:rsidRDefault="00AC41F0" w:rsidP="00AC41F0">
      <w:pPr>
        <w:pStyle w:val="BodyText"/>
        <w:jc w:val="both"/>
        <w:rPr>
          <w:sz w:val="18"/>
          <w:szCs w:val="18"/>
        </w:rPr>
      </w:pPr>
    </w:p>
    <w:p w14:paraId="6AF660E1" w14:textId="77777777" w:rsidR="00AC41F0" w:rsidRPr="00A50BD6" w:rsidRDefault="00AC41F0" w:rsidP="00AC41F0">
      <w:pPr>
        <w:pStyle w:val="BodyText"/>
        <w:jc w:val="both"/>
        <w:rPr>
          <w:b/>
          <w:sz w:val="18"/>
          <w:szCs w:val="18"/>
        </w:rPr>
      </w:pPr>
      <w:r w:rsidRPr="00A50BD6">
        <w:rPr>
          <w:b/>
          <w:sz w:val="18"/>
          <w:szCs w:val="18"/>
        </w:rPr>
        <w:t>Equity Loans/Shared Equity</w:t>
      </w:r>
    </w:p>
    <w:p w14:paraId="08EF867C" w14:textId="77777777" w:rsidR="00AC41F0" w:rsidRPr="00A50BD6" w:rsidRDefault="00AC41F0" w:rsidP="00AC41F0">
      <w:pPr>
        <w:pStyle w:val="BodyText"/>
        <w:jc w:val="both"/>
        <w:rPr>
          <w:sz w:val="18"/>
          <w:szCs w:val="18"/>
        </w:rPr>
      </w:pPr>
      <w:r w:rsidRPr="00A50BD6">
        <w:rPr>
          <w:sz w:val="18"/>
          <w:szCs w:val="18"/>
        </w:rPr>
        <w:t>An equity loan which acts as a second charge on a property. For example, a household buys a £200,000 property with a 10% equity loan (£20,000). They pay a small amount for the loan and when the property is sold e.g. for £250,000 the lender receives 10% of the sale cost (£25,000). Some equity loans were available for the purchase of existing stock. The current scheme is to assist people to buy new build.</w:t>
      </w:r>
    </w:p>
    <w:p w14:paraId="68070881" w14:textId="77777777" w:rsidR="00AC41F0" w:rsidRDefault="00AC41F0" w:rsidP="00AC41F0">
      <w:pPr>
        <w:pStyle w:val="BodyText"/>
        <w:jc w:val="both"/>
        <w:rPr>
          <w:b/>
          <w:sz w:val="18"/>
          <w:szCs w:val="18"/>
        </w:rPr>
      </w:pPr>
      <w:r w:rsidRPr="00047BE3">
        <w:rPr>
          <w:b/>
          <w:sz w:val="18"/>
          <w:szCs w:val="18"/>
        </w:rPr>
        <w:t xml:space="preserve">Extra Care Housing </w:t>
      </w:r>
      <w:r>
        <w:rPr>
          <w:b/>
          <w:sz w:val="18"/>
          <w:szCs w:val="18"/>
        </w:rPr>
        <w:t>o</w:t>
      </w:r>
      <w:r w:rsidRPr="00047BE3">
        <w:rPr>
          <w:b/>
          <w:sz w:val="18"/>
          <w:szCs w:val="18"/>
        </w:rPr>
        <w:t>r Housing-With-Care</w:t>
      </w:r>
    </w:p>
    <w:p w14:paraId="70DE2550" w14:textId="0B86BC46" w:rsidR="00AC41F0" w:rsidRPr="00047BE3" w:rsidRDefault="00AC41F0" w:rsidP="00AC41F0">
      <w:pPr>
        <w:pStyle w:val="BodyText"/>
        <w:jc w:val="both"/>
        <w:rPr>
          <w:sz w:val="18"/>
          <w:szCs w:val="18"/>
        </w:rPr>
      </w:pPr>
      <w:r>
        <w:rPr>
          <w:sz w:val="18"/>
          <w:szCs w:val="18"/>
        </w:rPr>
        <w:t xml:space="preserve">Housing which </w:t>
      </w:r>
      <w:r w:rsidRPr="00047BE3">
        <w:rPr>
          <w:sz w:val="18"/>
          <w:szCs w:val="18"/>
        </w:rPr>
        <w:t xml:space="preserve">usually consists of purpose-built or adapted flats or bungalows with a medium to high level of care available if required, through an onsite care agency registered through the Care Quality Commission (CQC). Residents are able to live independently with 24 hour access to support services and staff, and meals are also available. There are often extensive communal areas, such as space to socialise or a wellbeing centre. In some cases, these developments are </w:t>
      </w:r>
      <w:r w:rsidR="0084044B">
        <w:rPr>
          <w:sz w:val="18"/>
          <w:szCs w:val="18"/>
        </w:rPr>
        <w:t>included in</w:t>
      </w:r>
      <w:r w:rsidRPr="00047BE3">
        <w:rPr>
          <w:sz w:val="18"/>
          <w:szCs w:val="18"/>
        </w:rPr>
        <w:t xml:space="preserve"> retirement communities or villages - the intention is for residents to benefit from varying levels of care as time progresses.</w:t>
      </w:r>
    </w:p>
    <w:p w14:paraId="154A4FD9" w14:textId="77777777" w:rsidR="00AC41F0" w:rsidRPr="00A50BD6" w:rsidRDefault="00AC41F0" w:rsidP="00AC41F0">
      <w:pPr>
        <w:pStyle w:val="BodyText"/>
        <w:jc w:val="both"/>
        <w:rPr>
          <w:b/>
          <w:sz w:val="18"/>
          <w:szCs w:val="18"/>
        </w:rPr>
      </w:pPr>
      <w:r w:rsidRPr="00A50BD6">
        <w:rPr>
          <w:b/>
          <w:sz w:val="18"/>
          <w:szCs w:val="18"/>
        </w:rPr>
        <w:t>Fair Share</w:t>
      </w:r>
    </w:p>
    <w:p w14:paraId="5EE5ECF4" w14:textId="77777777" w:rsidR="00AC41F0" w:rsidRDefault="00AC41F0" w:rsidP="00AC41F0">
      <w:pPr>
        <w:pStyle w:val="BodyText"/>
        <w:jc w:val="both"/>
        <w:rPr>
          <w:sz w:val="18"/>
          <w:szCs w:val="18"/>
        </w:rPr>
      </w:pPr>
      <w:r w:rsidRPr="00A50BD6">
        <w:rPr>
          <w:sz w:val="18"/>
          <w:szCs w:val="18"/>
        </w:rPr>
        <w:t xml:space="preserve">'Fair share' is an approach to determining housing need within a given geographical area based on a proportional split according to the size of the area, the number of </w:t>
      </w:r>
      <w:r>
        <w:rPr>
          <w:sz w:val="18"/>
          <w:szCs w:val="18"/>
        </w:rPr>
        <w:t>homes in it, or its population.</w:t>
      </w:r>
    </w:p>
    <w:p w14:paraId="4CAAE07C" w14:textId="77777777" w:rsidR="00EF583D" w:rsidRDefault="00EF583D" w:rsidP="00EF583D">
      <w:pPr>
        <w:pStyle w:val="BodyText"/>
        <w:jc w:val="both"/>
        <w:rPr>
          <w:b/>
          <w:sz w:val="18"/>
          <w:szCs w:val="18"/>
        </w:rPr>
      </w:pPr>
      <w:bookmarkStart w:id="263" w:name="_Hlk49951138"/>
      <w:r>
        <w:rPr>
          <w:b/>
          <w:sz w:val="18"/>
          <w:szCs w:val="18"/>
        </w:rPr>
        <w:t>First Homes</w:t>
      </w:r>
    </w:p>
    <w:p w14:paraId="5272D8B1" w14:textId="41D671B4" w:rsidR="00EF583D" w:rsidRPr="005A1B2B" w:rsidRDefault="00EF583D" w:rsidP="00EF583D">
      <w:pPr>
        <w:pStyle w:val="BodyText"/>
        <w:jc w:val="both"/>
        <w:rPr>
          <w:sz w:val="18"/>
          <w:szCs w:val="18"/>
        </w:rPr>
      </w:pPr>
      <w:r>
        <w:rPr>
          <w:sz w:val="18"/>
          <w:szCs w:val="18"/>
        </w:rPr>
        <w:t xml:space="preserve">The Government is consulting on the introduction of First Homes as a new form of discounted market homes which will provided </w:t>
      </w:r>
      <w:r w:rsidR="00BB2E83">
        <w:rPr>
          <w:sz w:val="18"/>
          <w:szCs w:val="18"/>
        </w:rPr>
        <w:t xml:space="preserve">a discount of </w:t>
      </w:r>
      <w:r>
        <w:rPr>
          <w:sz w:val="18"/>
          <w:szCs w:val="18"/>
        </w:rPr>
        <w:t xml:space="preserve">at least 30% on </w:t>
      </w:r>
      <w:r w:rsidR="00BB2E83">
        <w:rPr>
          <w:sz w:val="18"/>
          <w:szCs w:val="18"/>
        </w:rPr>
        <w:t xml:space="preserve">the price of </w:t>
      </w:r>
      <w:r>
        <w:rPr>
          <w:sz w:val="18"/>
          <w:szCs w:val="18"/>
        </w:rPr>
        <w:t xml:space="preserve">new homes. The intention is that these homes are available to first time buyers as a priority but other households will be eligible depending on agreed criteria. New developments </w:t>
      </w:r>
      <w:r w:rsidR="00BB2E83">
        <w:rPr>
          <w:sz w:val="18"/>
          <w:szCs w:val="18"/>
        </w:rPr>
        <w:t xml:space="preserve">are likely to </w:t>
      </w:r>
      <w:r>
        <w:rPr>
          <w:sz w:val="18"/>
          <w:szCs w:val="18"/>
        </w:rPr>
        <w:t xml:space="preserve">be required to provide </w:t>
      </w:r>
      <w:r w:rsidR="00BB2E83">
        <w:rPr>
          <w:sz w:val="18"/>
          <w:szCs w:val="18"/>
        </w:rPr>
        <w:t>25%</w:t>
      </w:r>
      <w:r>
        <w:rPr>
          <w:sz w:val="18"/>
          <w:szCs w:val="18"/>
        </w:rPr>
        <w:t xml:space="preserve"> of Affordable Housing as First Homes</w:t>
      </w:r>
      <w:r w:rsidR="00BB2E83">
        <w:rPr>
          <w:sz w:val="18"/>
          <w:szCs w:val="18"/>
        </w:rPr>
        <w:t>.</w:t>
      </w:r>
      <w:r>
        <w:rPr>
          <w:sz w:val="18"/>
          <w:szCs w:val="18"/>
        </w:rPr>
        <w:t xml:space="preserve"> </w:t>
      </w:r>
    </w:p>
    <w:bookmarkEnd w:id="263"/>
    <w:p w14:paraId="35C04487" w14:textId="77777777" w:rsidR="00AC41F0" w:rsidRPr="00A50BD6" w:rsidRDefault="00AC41F0" w:rsidP="00AC41F0">
      <w:pPr>
        <w:pStyle w:val="BodyText"/>
        <w:jc w:val="both"/>
        <w:rPr>
          <w:b/>
          <w:sz w:val="18"/>
          <w:szCs w:val="18"/>
        </w:rPr>
      </w:pPr>
      <w:r w:rsidRPr="00A50BD6">
        <w:rPr>
          <w:b/>
          <w:sz w:val="18"/>
          <w:szCs w:val="18"/>
        </w:rPr>
        <w:t>Habitable Rooms</w:t>
      </w:r>
    </w:p>
    <w:p w14:paraId="2C11BA7F" w14:textId="77777777" w:rsidR="00AC41F0" w:rsidRPr="00A50BD6" w:rsidRDefault="00AC41F0" w:rsidP="00AC41F0">
      <w:pPr>
        <w:pStyle w:val="BodyText"/>
        <w:jc w:val="both"/>
        <w:rPr>
          <w:sz w:val="18"/>
          <w:szCs w:val="18"/>
        </w:rPr>
      </w:pPr>
      <w:r w:rsidRPr="00A50BD6">
        <w:rPr>
          <w:sz w:val="18"/>
          <w:szCs w:val="18"/>
        </w:rPr>
        <w:t>The number of habitable rooms in a home is the total number of rooms, excluding bathrooms, toilets and halls.</w:t>
      </w:r>
    </w:p>
    <w:p w14:paraId="3F2C709B" w14:textId="77777777" w:rsidR="00AC41F0" w:rsidRPr="00A50BD6" w:rsidRDefault="00AC41F0" w:rsidP="00AC41F0">
      <w:pPr>
        <w:pStyle w:val="BodyText"/>
        <w:jc w:val="both"/>
        <w:rPr>
          <w:b/>
          <w:sz w:val="18"/>
          <w:szCs w:val="18"/>
        </w:rPr>
      </w:pPr>
      <w:r w:rsidRPr="00A50BD6">
        <w:rPr>
          <w:b/>
          <w:sz w:val="18"/>
          <w:szCs w:val="18"/>
        </w:rPr>
        <w:t>Household Reference Person (HRP)</w:t>
      </w:r>
    </w:p>
    <w:p w14:paraId="26E8B550" w14:textId="77777777" w:rsidR="00AC41F0" w:rsidRPr="00A50BD6" w:rsidRDefault="00AC41F0" w:rsidP="00AC41F0">
      <w:pPr>
        <w:pStyle w:val="BodyText"/>
        <w:jc w:val="both"/>
        <w:rPr>
          <w:sz w:val="18"/>
          <w:szCs w:val="18"/>
        </w:rPr>
      </w:pPr>
      <w:r w:rsidRPr="00A50BD6">
        <w:rPr>
          <w:sz w:val="18"/>
          <w:szCs w:val="18"/>
        </w:rPr>
        <w:t xml:space="preserve">The concept of a Household Reference Person (HRP) was introduced in the 2001 Census (in common with other government surveys in 2001/2) to replace the traditional concept of the head of the household. HRPs provide an individual person within a household to act as a reference point for producing further derived statistics and for characterising a whole household according to characteristics of the chosen reference person. </w:t>
      </w:r>
    </w:p>
    <w:p w14:paraId="48809115" w14:textId="77777777" w:rsidR="00AC41F0" w:rsidRPr="00A50BD6" w:rsidRDefault="00AC41F0" w:rsidP="00AC41F0">
      <w:pPr>
        <w:pStyle w:val="BodyText"/>
        <w:jc w:val="both"/>
        <w:rPr>
          <w:b/>
          <w:sz w:val="18"/>
          <w:szCs w:val="18"/>
        </w:rPr>
      </w:pPr>
      <w:r w:rsidRPr="00A50BD6">
        <w:rPr>
          <w:b/>
          <w:sz w:val="18"/>
          <w:szCs w:val="18"/>
        </w:rPr>
        <w:t xml:space="preserve">Housing Market Area </w:t>
      </w:r>
    </w:p>
    <w:p w14:paraId="074AB65D" w14:textId="77777777" w:rsidR="00AC41F0" w:rsidRPr="00A50BD6" w:rsidRDefault="00AC41F0" w:rsidP="00AC41F0">
      <w:pPr>
        <w:pStyle w:val="BodyText"/>
        <w:jc w:val="both"/>
        <w:rPr>
          <w:sz w:val="18"/>
          <w:szCs w:val="18"/>
        </w:rPr>
      </w:pPr>
      <w:r w:rsidRPr="00A50BD6">
        <w:rPr>
          <w:sz w:val="18"/>
          <w:szCs w:val="18"/>
        </w:rPr>
        <w:t>A housing market area is a geographical area defined by household demand and preferences for all types of housing, reflecting the key functional linkages between places where people live and work. It might be the case that housing market areas overlap.</w:t>
      </w:r>
    </w:p>
    <w:p w14:paraId="5842B832" w14:textId="77777777" w:rsidR="00AC41F0" w:rsidRPr="00A50BD6" w:rsidRDefault="00AC41F0" w:rsidP="00AC41F0">
      <w:pPr>
        <w:pStyle w:val="BodyText"/>
        <w:jc w:val="both"/>
        <w:rPr>
          <w:sz w:val="18"/>
          <w:szCs w:val="18"/>
        </w:rPr>
      </w:pPr>
      <w:r w:rsidRPr="00A50BD6">
        <w:rPr>
          <w:sz w:val="18"/>
          <w:szCs w:val="18"/>
        </w:rPr>
        <w:t>The extent of the housing market areas identified will vary, and many will in practice cut across various local planning authority administrative boundaries. Local planning authorities should work with all the other constituent authorities under the duty to cooperate.</w:t>
      </w:r>
    </w:p>
    <w:p w14:paraId="12A128AA" w14:textId="77777777" w:rsidR="00AC41F0" w:rsidRPr="00A50BD6" w:rsidRDefault="00AC41F0" w:rsidP="00AC41F0">
      <w:pPr>
        <w:pStyle w:val="BodyText"/>
        <w:jc w:val="both"/>
        <w:rPr>
          <w:b/>
          <w:sz w:val="18"/>
          <w:szCs w:val="18"/>
        </w:rPr>
      </w:pPr>
      <w:r w:rsidRPr="00A50BD6">
        <w:rPr>
          <w:b/>
          <w:sz w:val="18"/>
          <w:szCs w:val="18"/>
        </w:rPr>
        <w:t>Housing Needs</w:t>
      </w:r>
    </w:p>
    <w:p w14:paraId="4BA1B4B5" w14:textId="77777777" w:rsidR="00AC41F0" w:rsidRPr="00A50BD6" w:rsidRDefault="00AC41F0" w:rsidP="00AC41F0">
      <w:pPr>
        <w:pStyle w:val="BodyText"/>
        <w:jc w:val="both"/>
        <w:rPr>
          <w:sz w:val="18"/>
          <w:szCs w:val="18"/>
        </w:rPr>
      </w:pPr>
      <w:r w:rsidRPr="00A50BD6">
        <w:rPr>
          <w:sz w:val="18"/>
          <w:szCs w:val="18"/>
        </w:rPr>
        <w:t>There is no official definition of housing need in either the National Planning Policy Framework or the National Planning Practice Guidance. Clearly, individuals have their own housing needs. The process of understanding housing needs at a population scale is undertaken via the preparation of a Strategic Housing Market Assessment (see below).</w:t>
      </w:r>
    </w:p>
    <w:p w14:paraId="159E7160" w14:textId="77777777" w:rsidR="00AC41F0" w:rsidRPr="00A50BD6" w:rsidRDefault="00AC41F0" w:rsidP="00AC41F0">
      <w:pPr>
        <w:pStyle w:val="BodyText"/>
        <w:jc w:val="both"/>
        <w:rPr>
          <w:b/>
          <w:sz w:val="18"/>
          <w:szCs w:val="18"/>
        </w:rPr>
      </w:pPr>
      <w:r w:rsidRPr="00A50BD6">
        <w:rPr>
          <w:b/>
          <w:sz w:val="18"/>
          <w:szCs w:val="18"/>
        </w:rPr>
        <w:t>Housing Needs Assessment</w:t>
      </w:r>
    </w:p>
    <w:p w14:paraId="7A703FBF" w14:textId="77777777" w:rsidR="00AC41F0" w:rsidRDefault="00AC41F0" w:rsidP="00AC41F0">
      <w:pPr>
        <w:pStyle w:val="BodyText"/>
        <w:jc w:val="both"/>
        <w:rPr>
          <w:sz w:val="18"/>
          <w:szCs w:val="18"/>
        </w:rPr>
      </w:pPr>
      <w:r w:rsidRPr="00A50BD6">
        <w:rPr>
          <w:sz w:val="18"/>
          <w:szCs w:val="18"/>
        </w:rPr>
        <w:t>A Housing Needs Assessment (HNA) is an assessment of housing needs at the Neighbourhood Area level.</w:t>
      </w:r>
    </w:p>
    <w:p w14:paraId="265E852D" w14:textId="77777777" w:rsidR="00AC41F0" w:rsidRPr="00A50BD6" w:rsidRDefault="00AC41F0" w:rsidP="00AC41F0">
      <w:pPr>
        <w:pStyle w:val="BodyText"/>
        <w:jc w:val="both"/>
        <w:rPr>
          <w:b/>
          <w:sz w:val="18"/>
          <w:szCs w:val="18"/>
        </w:rPr>
      </w:pPr>
      <w:r w:rsidRPr="00A50BD6">
        <w:rPr>
          <w:b/>
          <w:sz w:val="18"/>
          <w:szCs w:val="18"/>
        </w:rPr>
        <w:t>Housing Products</w:t>
      </w:r>
    </w:p>
    <w:p w14:paraId="1327D915" w14:textId="663DF964" w:rsidR="00AC41F0" w:rsidRPr="00A50BD6" w:rsidRDefault="00AC41F0" w:rsidP="00AC41F0">
      <w:pPr>
        <w:pStyle w:val="BodyText"/>
        <w:jc w:val="both"/>
        <w:rPr>
          <w:sz w:val="18"/>
          <w:szCs w:val="18"/>
        </w:rPr>
      </w:pPr>
      <w:r w:rsidRPr="00A50BD6">
        <w:rPr>
          <w:sz w:val="18"/>
          <w:szCs w:val="18"/>
        </w:rPr>
        <w:t>Housing products simply refers to different types of housing as they are produced by developers of various kinds (including councils and housing associations). Housing products usually refers to specific tenures and types of new build housing</w:t>
      </w:r>
      <w:r w:rsidR="007B0F7A">
        <w:rPr>
          <w:sz w:val="18"/>
          <w:szCs w:val="18"/>
        </w:rPr>
        <w:t>.</w:t>
      </w:r>
    </w:p>
    <w:p w14:paraId="7ABFA3E9" w14:textId="77777777" w:rsidR="00AC41F0" w:rsidRPr="00A50BD6" w:rsidRDefault="00AC41F0" w:rsidP="00AC41F0">
      <w:pPr>
        <w:pStyle w:val="BodyText"/>
        <w:jc w:val="both"/>
        <w:rPr>
          <w:b/>
          <w:sz w:val="18"/>
          <w:szCs w:val="18"/>
        </w:rPr>
      </w:pPr>
      <w:r w:rsidRPr="00A50BD6">
        <w:rPr>
          <w:b/>
          <w:sz w:val="18"/>
          <w:szCs w:val="18"/>
        </w:rPr>
        <w:t>Housing Size (Census Definition)</w:t>
      </w:r>
    </w:p>
    <w:p w14:paraId="25002512" w14:textId="77777777" w:rsidR="00AC41F0" w:rsidRPr="00A50BD6" w:rsidRDefault="00AC41F0" w:rsidP="00AC41F0">
      <w:pPr>
        <w:pStyle w:val="BodyText"/>
        <w:jc w:val="both"/>
        <w:rPr>
          <w:sz w:val="18"/>
          <w:szCs w:val="18"/>
        </w:rPr>
      </w:pPr>
      <w:r w:rsidRPr="00A50BD6">
        <w:rPr>
          <w:sz w:val="18"/>
          <w:szCs w:val="18"/>
        </w:rPr>
        <w:t xml:space="preserve">Housing size can be referred to either in terms of the number of bedrooms in a home (a bedroom is defined as any room that was intended to be used as a bedroom when the property was built, any rooms permanently converted for use as bedrooms); or in terms of the number of rooms, excluding bathrooms, toilets halls or landings, or rooms that can only be used for storage. All other rooms, for example, kitchens, living rooms, bedrooms, utility rooms, studies and conservatories are counted.  If two rooms have been converted into one they are counted as one room. Rooms shared between more than one household, for example a shared kitchen, are not counted. </w:t>
      </w:r>
    </w:p>
    <w:p w14:paraId="119AEE19" w14:textId="77777777" w:rsidR="00AC41F0" w:rsidRPr="00A50BD6" w:rsidRDefault="00AC41F0" w:rsidP="00AC41F0">
      <w:pPr>
        <w:pStyle w:val="BodyText"/>
        <w:jc w:val="both"/>
        <w:rPr>
          <w:b/>
          <w:sz w:val="18"/>
          <w:szCs w:val="18"/>
        </w:rPr>
      </w:pPr>
      <w:r w:rsidRPr="00A50BD6">
        <w:rPr>
          <w:b/>
          <w:sz w:val="18"/>
          <w:szCs w:val="18"/>
        </w:rPr>
        <w:t>Housing Type (Census Definition)</w:t>
      </w:r>
    </w:p>
    <w:p w14:paraId="7FACDE4A" w14:textId="77777777" w:rsidR="00AC41F0" w:rsidRPr="00A50BD6" w:rsidRDefault="00AC41F0" w:rsidP="00AC41F0">
      <w:pPr>
        <w:pStyle w:val="BodyText"/>
        <w:jc w:val="both"/>
        <w:rPr>
          <w:sz w:val="18"/>
          <w:szCs w:val="18"/>
        </w:rPr>
      </w:pPr>
      <w:r w:rsidRPr="00A50BD6">
        <w:rPr>
          <w:sz w:val="18"/>
          <w:szCs w:val="18"/>
        </w:rPr>
        <w:t>This refers to the type of accommodation used or available for use by an individual household (i.e. detached, semi-detached, terraced including end of terraced, and flats). Flats are broken down into those in a purpose-built block of flats, in parts of a converted or shared house, or in a commercial building.</w:t>
      </w:r>
    </w:p>
    <w:p w14:paraId="25D8B957" w14:textId="77777777" w:rsidR="00AC41F0" w:rsidRPr="00A50BD6" w:rsidRDefault="00AC41F0" w:rsidP="00AC41F0">
      <w:pPr>
        <w:pStyle w:val="BodyText"/>
        <w:jc w:val="both"/>
        <w:rPr>
          <w:b/>
          <w:sz w:val="18"/>
          <w:szCs w:val="18"/>
        </w:rPr>
      </w:pPr>
      <w:r w:rsidRPr="00A50BD6">
        <w:rPr>
          <w:b/>
          <w:sz w:val="18"/>
          <w:szCs w:val="18"/>
        </w:rPr>
        <w:t>Housing Tenure (Census Definition)</w:t>
      </w:r>
    </w:p>
    <w:p w14:paraId="064B0D36" w14:textId="77777777" w:rsidR="00AC41F0" w:rsidRPr="00A50BD6" w:rsidRDefault="00AC41F0" w:rsidP="00AC41F0">
      <w:pPr>
        <w:pStyle w:val="BodyText"/>
        <w:jc w:val="both"/>
        <w:rPr>
          <w:sz w:val="18"/>
          <w:szCs w:val="18"/>
        </w:rPr>
      </w:pPr>
      <w:r w:rsidRPr="00A50BD6">
        <w:rPr>
          <w:sz w:val="18"/>
          <w:szCs w:val="18"/>
        </w:rPr>
        <w:t xml:space="preserve">Tenure provides information about whether a household rents or owns the accommodation that it occupies and, if rented, combines this with information about the type of landlord who owns or manages the accommodation. </w:t>
      </w:r>
    </w:p>
    <w:p w14:paraId="0846727D" w14:textId="77777777" w:rsidR="00AC41F0" w:rsidRPr="00A50BD6" w:rsidRDefault="00AC41F0" w:rsidP="00AC41F0">
      <w:pPr>
        <w:pStyle w:val="BodyText"/>
        <w:jc w:val="both"/>
        <w:rPr>
          <w:b/>
          <w:sz w:val="18"/>
          <w:szCs w:val="18"/>
        </w:rPr>
      </w:pPr>
      <w:r w:rsidRPr="00A50BD6">
        <w:rPr>
          <w:b/>
          <w:sz w:val="18"/>
          <w:szCs w:val="18"/>
        </w:rPr>
        <w:t>Income Threshold</w:t>
      </w:r>
    </w:p>
    <w:p w14:paraId="11A2DCC9" w14:textId="77777777" w:rsidR="00AC41F0" w:rsidRDefault="00AC41F0" w:rsidP="00AC41F0">
      <w:pPr>
        <w:pStyle w:val="BodyText"/>
        <w:jc w:val="both"/>
        <w:rPr>
          <w:sz w:val="18"/>
          <w:szCs w:val="18"/>
        </w:rPr>
      </w:pPr>
      <w:r w:rsidRPr="00A50BD6">
        <w:rPr>
          <w:sz w:val="18"/>
          <w:szCs w:val="18"/>
        </w:rPr>
        <w:t xml:space="preserve">Income thresholds are derived as a result of the annualisation of the monthly rental cost and then asserting this cost should not exceed </w:t>
      </w:r>
      <w:r>
        <w:rPr>
          <w:sz w:val="18"/>
          <w:szCs w:val="18"/>
        </w:rPr>
        <w:t>35% of annual household income.</w:t>
      </w:r>
    </w:p>
    <w:p w14:paraId="2FFCC76A" w14:textId="77777777" w:rsidR="00AC41F0" w:rsidRPr="00A50BD6" w:rsidRDefault="00AC41F0" w:rsidP="00AC41F0">
      <w:pPr>
        <w:pStyle w:val="BodyText"/>
        <w:jc w:val="both"/>
        <w:rPr>
          <w:b/>
          <w:sz w:val="18"/>
          <w:szCs w:val="18"/>
        </w:rPr>
      </w:pPr>
      <w:r w:rsidRPr="00A50BD6">
        <w:rPr>
          <w:b/>
          <w:sz w:val="18"/>
          <w:szCs w:val="18"/>
        </w:rPr>
        <w:t>Intercensal Period</w:t>
      </w:r>
    </w:p>
    <w:p w14:paraId="0F7AF06C" w14:textId="77777777" w:rsidR="00AC41F0" w:rsidRPr="00A50BD6" w:rsidRDefault="00AC41F0" w:rsidP="00AC41F0">
      <w:pPr>
        <w:pStyle w:val="BodyText"/>
        <w:jc w:val="both"/>
        <w:rPr>
          <w:sz w:val="18"/>
          <w:szCs w:val="18"/>
        </w:rPr>
      </w:pPr>
      <w:r w:rsidRPr="00A50BD6">
        <w:rPr>
          <w:sz w:val="18"/>
          <w:szCs w:val="18"/>
        </w:rPr>
        <w:t>This means the period between the last two Censuses, i.e. between years 2001 and 2011.</w:t>
      </w:r>
    </w:p>
    <w:p w14:paraId="7A661A93" w14:textId="77777777" w:rsidR="00AC41F0" w:rsidRPr="00A50BD6" w:rsidRDefault="00AC41F0" w:rsidP="00AC41F0">
      <w:pPr>
        <w:pStyle w:val="BodyText"/>
        <w:jc w:val="both"/>
        <w:rPr>
          <w:b/>
          <w:sz w:val="18"/>
          <w:szCs w:val="18"/>
        </w:rPr>
      </w:pPr>
      <w:r w:rsidRPr="00A50BD6">
        <w:rPr>
          <w:b/>
          <w:sz w:val="18"/>
          <w:szCs w:val="18"/>
        </w:rPr>
        <w:t>Intermediate Housing</w:t>
      </w:r>
    </w:p>
    <w:p w14:paraId="3A167436" w14:textId="77777777" w:rsidR="00AC41F0" w:rsidRPr="00A50BD6" w:rsidRDefault="00AC41F0" w:rsidP="00A82210">
      <w:pPr>
        <w:pStyle w:val="ListNumber"/>
        <w:numPr>
          <w:ilvl w:val="0"/>
          <w:numId w:val="0"/>
        </w:numPr>
      </w:pPr>
      <w:r w:rsidRPr="00A50BD6">
        <w:t>Intermediate housing is homes for sale and rent provided at a cost above social rent, but below market levels subject to the criteria in the Affordable Housing definition above. These can include shared equity (shared ownersh</w:t>
      </w:r>
      <w:r>
        <w:t>ip and equity loans), other low-</w:t>
      </w:r>
      <w:r w:rsidRPr="00A50BD6">
        <w:t>cost homes for sale and intermediate rent, but not affordable rented housing. Homes that do not meet the above definition of a</w:t>
      </w:r>
      <w:r>
        <w:t>ffordable housing, such as ‘low-</w:t>
      </w:r>
      <w:r w:rsidRPr="00A50BD6">
        <w:t>cost market’ housing, may not be considered as affordable housing for planning purposes.</w:t>
      </w:r>
    </w:p>
    <w:p w14:paraId="0A750A5F" w14:textId="77777777" w:rsidR="00AC41F0" w:rsidRPr="00A50BD6" w:rsidRDefault="00AC41F0" w:rsidP="00AC41F0">
      <w:pPr>
        <w:pStyle w:val="BodyText"/>
        <w:jc w:val="both"/>
        <w:rPr>
          <w:b/>
          <w:sz w:val="18"/>
          <w:szCs w:val="18"/>
        </w:rPr>
      </w:pPr>
      <w:r w:rsidRPr="00A50BD6">
        <w:rPr>
          <w:b/>
          <w:sz w:val="18"/>
          <w:szCs w:val="18"/>
        </w:rPr>
        <w:t>Life Stage modelling</w:t>
      </w:r>
    </w:p>
    <w:p w14:paraId="471B8E51" w14:textId="77777777" w:rsidR="00AC41F0" w:rsidRPr="00A50BD6" w:rsidRDefault="00AC41F0" w:rsidP="00AC41F0">
      <w:pPr>
        <w:pStyle w:val="BodyText"/>
        <w:jc w:val="both"/>
        <w:rPr>
          <w:sz w:val="18"/>
          <w:szCs w:val="18"/>
        </w:rPr>
      </w:pPr>
      <w:r w:rsidRPr="00A50BD6">
        <w:rPr>
          <w:sz w:val="18"/>
          <w:szCs w:val="18"/>
        </w:rPr>
        <w:t xml:space="preserve">Life Stage modelling is forecasting need for dwellings of different sizes </w:t>
      </w:r>
      <w:r>
        <w:rPr>
          <w:sz w:val="18"/>
          <w:szCs w:val="18"/>
        </w:rPr>
        <w:t>by</w:t>
      </w:r>
      <w:r w:rsidRPr="00A50BD6">
        <w:rPr>
          <w:sz w:val="18"/>
          <w:szCs w:val="18"/>
        </w:rPr>
        <w:t xml:space="preserve"> the end of the Plan period on the basis of changes in the distribution of household types and key age brackets (life stages) within the NA. Given the shared behavioural patterns associated with these metrics, they provide a helpful way of understanding and predicting future community need. This dat</w:t>
      </w:r>
      <w:r>
        <w:rPr>
          <w:sz w:val="18"/>
          <w:szCs w:val="18"/>
        </w:rPr>
        <w:t>a is not available at neighbourhood</w:t>
      </w:r>
      <w:r w:rsidRPr="00A50BD6">
        <w:rPr>
          <w:sz w:val="18"/>
          <w:szCs w:val="18"/>
        </w:rPr>
        <w:t xml:space="preserve"> level so </w:t>
      </w:r>
      <w:r>
        <w:rPr>
          <w:sz w:val="18"/>
          <w:szCs w:val="18"/>
        </w:rPr>
        <w:t>LPA</w:t>
      </w:r>
      <w:r w:rsidRPr="00A50BD6">
        <w:rPr>
          <w:sz w:val="18"/>
          <w:szCs w:val="18"/>
        </w:rPr>
        <w:t xml:space="preserve"> level data is employed on the </w:t>
      </w:r>
      <w:r>
        <w:rPr>
          <w:sz w:val="18"/>
          <w:szCs w:val="18"/>
        </w:rPr>
        <w:t>basis of the NA falling within its</w:t>
      </w:r>
      <w:r w:rsidRPr="00A50BD6">
        <w:rPr>
          <w:sz w:val="18"/>
          <w:szCs w:val="18"/>
        </w:rPr>
        <w:t xml:space="preserve"> defined Housing Market Area.</w:t>
      </w:r>
    </w:p>
    <w:p w14:paraId="072F8EEC" w14:textId="77777777" w:rsidR="00AC41F0" w:rsidRPr="00A50BD6" w:rsidRDefault="00AC41F0" w:rsidP="00AC41F0">
      <w:pPr>
        <w:pStyle w:val="BodyText"/>
        <w:jc w:val="both"/>
        <w:rPr>
          <w:b/>
          <w:sz w:val="18"/>
          <w:szCs w:val="18"/>
        </w:rPr>
      </w:pPr>
      <w:r w:rsidRPr="00A50BD6">
        <w:rPr>
          <w:b/>
          <w:sz w:val="18"/>
          <w:szCs w:val="18"/>
        </w:rPr>
        <w:t>Life-time Homes</w:t>
      </w:r>
    </w:p>
    <w:p w14:paraId="468AB0E0" w14:textId="261283DC" w:rsidR="00AC41F0" w:rsidRPr="00A50BD6" w:rsidRDefault="00AC41F0" w:rsidP="00AC41F0">
      <w:pPr>
        <w:pStyle w:val="BodyText"/>
        <w:jc w:val="both"/>
        <w:rPr>
          <w:sz w:val="18"/>
          <w:szCs w:val="18"/>
        </w:rPr>
      </w:pPr>
      <w:r w:rsidRPr="00A50BD6">
        <w:rPr>
          <w:sz w:val="18"/>
          <w:szCs w:val="18"/>
        </w:rPr>
        <w:t xml:space="preserve">Dwellings constructed to make them more flexible, convenient adaptable and accessible than most ‘normal’ houses, usually according to the Lifetime Homes Standard, 16 design criteria that can be applied to new homes at minimal cost: </w:t>
      </w:r>
      <w:hyperlink r:id="rId31" w:history="1">
        <w:r w:rsidRPr="00A50BD6">
          <w:rPr>
            <w:rStyle w:val="Hyperlink"/>
            <w:sz w:val="18"/>
            <w:szCs w:val="18"/>
          </w:rPr>
          <w:t>http://www.lifetimehomes.org.uk/</w:t>
        </w:r>
      </w:hyperlink>
      <w:r w:rsidRPr="00A50BD6">
        <w:rPr>
          <w:sz w:val="18"/>
          <w:szCs w:val="18"/>
        </w:rPr>
        <w:t xml:space="preserve">. </w:t>
      </w:r>
    </w:p>
    <w:p w14:paraId="51B0639B" w14:textId="77777777" w:rsidR="00AC41F0" w:rsidRPr="00A50BD6" w:rsidRDefault="00AC41F0" w:rsidP="00AC41F0">
      <w:pPr>
        <w:pStyle w:val="BodyText"/>
        <w:jc w:val="both"/>
        <w:rPr>
          <w:b/>
          <w:sz w:val="18"/>
          <w:szCs w:val="18"/>
        </w:rPr>
      </w:pPr>
      <w:r w:rsidRPr="00A50BD6">
        <w:rPr>
          <w:b/>
          <w:sz w:val="18"/>
          <w:szCs w:val="18"/>
        </w:rPr>
        <w:t xml:space="preserve">Life-time Neighbourhoods </w:t>
      </w:r>
    </w:p>
    <w:p w14:paraId="76EA102A" w14:textId="77777777" w:rsidR="00AC41F0" w:rsidRPr="00A50BD6" w:rsidRDefault="00AC41F0" w:rsidP="00AC41F0">
      <w:pPr>
        <w:pStyle w:val="BodyText"/>
        <w:jc w:val="both"/>
        <w:rPr>
          <w:sz w:val="18"/>
          <w:szCs w:val="18"/>
        </w:rPr>
      </w:pPr>
      <w:r w:rsidRPr="00A50BD6">
        <w:rPr>
          <w:sz w:val="18"/>
          <w:szCs w:val="18"/>
        </w:rPr>
        <w:t>Lifetime neighbourhoods extend the principles of Lifetime Homes into the wider neighbourhood to ensure the public realm is designed in such a way to be as inclusive as possible and designed to address the needs of older people, for example providing more greenery and more walkable, better connected places.</w:t>
      </w:r>
    </w:p>
    <w:p w14:paraId="0C7B19D1" w14:textId="77777777" w:rsidR="00AC41F0" w:rsidRPr="00A50BD6" w:rsidRDefault="00AC41F0" w:rsidP="00AC41F0">
      <w:pPr>
        <w:pStyle w:val="BodyText"/>
        <w:jc w:val="both"/>
        <w:rPr>
          <w:b/>
          <w:sz w:val="18"/>
          <w:szCs w:val="18"/>
        </w:rPr>
      </w:pPr>
      <w:r w:rsidRPr="00A50BD6">
        <w:rPr>
          <w:b/>
          <w:sz w:val="18"/>
          <w:szCs w:val="18"/>
        </w:rPr>
        <w:t>Local Development Order</w:t>
      </w:r>
    </w:p>
    <w:p w14:paraId="699A1275" w14:textId="77777777" w:rsidR="00AC41F0" w:rsidRPr="00A50BD6" w:rsidRDefault="00AC41F0" w:rsidP="00AC41F0">
      <w:pPr>
        <w:pStyle w:val="BodyText"/>
        <w:jc w:val="both"/>
        <w:rPr>
          <w:sz w:val="18"/>
          <w:szCs w:val="18"/>
        </w:rPr>
      </w:pPr>
      <w:r w:rsidRPr="00A50BD6">
        <w:rPr>
          <w:sz w:val="18"/>
          <w:szCs w:val="18"/>
        </w:rPr>
        <w:t>An Order made by a local planning authority (under the Town and Country Planning Act 1990) that grants planning permission for a specific development proposal or classes of development.</w:t>
      </w:r>
    </w:p>
    <w:p w14:paraId="56C300CC" w14:textId="77777777" w:rsidR="00AC41F0" w:rsidRPr="00A50BD6" w:rsidRDefault="00AC41F0" w:rsidP="00AC41F0">
      <w:pPr>
        <w:pStyle w:val="BodyText"/>
        <w:jc w:val="both"/>
        <w:rPr>
          <w:b/>
          <w:bCs/>
          <w:sz w:val="18"/>
          <w:szCs w:val="18"/>
        </w:rPr>
      </w:pPr>
      <w:r w:rsidRPr="00A50BD6">
        <w:rPr>
          <w:b/>
          <w:bCs/>
          <w:sz w:val="18"/>
          <w:szCs w:val="18"/>
        </w:rPr>
        <w:t>Local Enterprise Partnership</w:t>
      </w:r>
    </w:p>
    <w:p w14:paraId="12027A56" w14:textId="77777777" w:rsidR="00AC41F0" w:rsidRPr="00A50BD6" w:rsidRDefault="00AC41F0" w:rsidP="00AC41F0">
      <w:pPr>
        <w:pStyle w:val="BodyText"/>
        <w:jc w:val="both"/>
        <w:rPr>
          <w:sz w:val="18"/>
          <w:szCs w:val="18"/>
        </w:rPr>
      </w:pPr>
      <w:r w:rsidRPr="00A50BD6">
        <w:rPr>
          <w:sz w:val="18"/>
          <w:szCs w:val="18"/>
        </w:rPr>
        <w:t>A body, designated by the Secretary of State for Communities and Local Government, established for the purpose of creating or improving the conditions for economic growth in an area.</w:t>
      </w:r>
    </w:p>
    <w:p w14:paraId="041C021F" w14:textId="77777777" w:rsidR="00AC41F0" w:rsidRPr="00A50BD6" w:rsidRDefault="00AC41F0" w:rsidP="00AC41F0">
      <w:pPr>
        <w:pStyle w:val="BodyText"/>
        <w:jc w:val="both"/>
        <w:rPr>
          <w:b/>
          <w:sz w:val="18"/>
          <w:szCs w:val="18"/>
        </w:rPr>
      </w:pPr>
      <w:r w:rsidRPr="00A50BD6">
        <w:rPr>
          <w:b/>
          <w:sz w:val="18"/>
          <w:szCs w:val="18"/>
        </w:rPr>
        <w:t>Local housing need (NPPF definition)</w:t>
      </w:r>
    </w:p>
    <w:p w14:paraId="418A20AD" w14:textId="77777777" w:rsidR="00AC41F0" w:rsidRPr="00A50BD6" w:rsidRDefault="00AC41F0" w:rsidP="00AC41F0">
      <w:pPr>
        <w:pStyle w:val="BodyText"/>
        <w:jc w:val="both"/>
        <w:rPr>
          <w:sz w:val="18"/>
          <w:szCs w:val="18"/>
        </w:rPr>
      </w:pPr>
      <w:r w:rsidRPr="00A50BD6">
        <w:rPr>
          <w:sz w:val="18"/>
          <w:szCs w:val="18"/>
        </w:rPr>
        <w:t>The number of homes identified as being needed through the application of the standard method set out in national planning guidance (or, in the context of preparing strategic policies only, this may be calculated using a justified alternative approach as provided for in paragraph 60 of this Framework).</w:t>
      </w:r>
    </w:p>
    <w:p w14:paraId="6B145646" w14:textId="77777777" w:rsidR="00AC41F0" w:rsidRPr="00A50BD6" w:rsidRDefault="00AC41F0" w:rsidP="00AC41F0">
      <w:pPr>
        <w:pStyle w:val="BodyText"/>
        <w:jc w:val="both"/>
        <w:rPr>
          <w:b/>
          <w:sz w:val="18"/>
          <w:szCs w:val="18"/>
        </w:rPr>
      </w:pPr>
      <w:r w:rsidRPr="00A50BD6">
        <w:rPr>
          <w:b/>
          <w:sz w:val="18"/>
          <w:szCs w:val="18"/>
        </w:rPr>
        <w:t>Local Planning Authority</w:t>
      </w:r>
    </w:p>
    <w:p w14:paraId="063EBBF0" w14:textId="77777777" w:rsidR="00AC41F0" w:rsidRPr="00A50BD6" w:rsidRDefault="00AC41F0" w:rsidP="00AC41F0">
      <w:pPr>
        <w:pStyle w:val="BodyText"/>
        <w:jc w:val="both"/>
        <w:rPr>
          <w:sz w:val="18"/>
          <w:szCs w:val="18"/>
        </w:rPr>
      </w:pPr>
      <w:r w:rsidRPr="00A50BD6">
        <w:rPr>
          <w:sz w:val="18"/>
          <w:szCs w:val="18"/>
        </w:rPr>
        <w:t>The public authority whose duty it is to carry out specific planning functions for a particular area. All references to local planning a</w:t>
      </w:r>
      <w:r>
        <w:rPr>
          <w:sz w:val="18"/>
          <w:szCs w:val="18"/>
        </w:rPr>
        <w:t>uthority apply to the District Council, London Borough Council, County C</w:t>
      </w:r>
      <w:r w:rsidRPr="00A50BD6">
        <w:rPr>
          <w:sz w:val="18"/>
          <w:szCs w:val="18"/>
        </w:rPr>
        <w:t xml:space="preserve">ouncil, Broads Authority, National Park Authority </w:t>
      </w:r>
      <w:r>
        <w:rPr>
          <w:sz w:val="18"/>
          <w:szCs w:val="18"/>
        </w:rPr>
        <w:t>or</w:t>
      </w:r>
      <w:r w:rsidRPr="00A50BD6">
        <w:rPr>
          <w:sz w:val="18"/>
          <w:szCs w:val="18"/>
        </w:rPr>
        <w:t xml:space="preserve"> the Greater London Authority, to the extent appropriate to their responsibilities.</w:t>
      </w:r>
    </w:p>
    <w:p w14:paraId="2FBC8715" w14:textId="77777777" w:rsidR="00AC41F0" w:rsidRPr="00A50BD6" w:rsidRDefault="00AC41F0" w:rsidP="00AC41F0">
      <w:pPr>
        <w:pStyle w:val="BodyText"/>
        <w:jc w:val="both"/>
        <w:rPr>
          <w:b/>
          <w:bCs/>
          <w:sz w:val="18"/>
          <w:szCs w:val="18"/>
        </w:rPr>
      </w:pPr>
      <w:r w:rsidRPr="00A50BD6">
        <w:rPr>
          <w:b/>
          <w:bCs/>
          <w:sz w:val="18"/>
          <w:szCs w:val="18"/>
        </w:rPr>
        <w:t>Local Plan</w:t>
      </w:r>
    </w:p>
    <w:p w14:paraId="6E970080" w14:textId="77777777" w:rsidR="00AC41F0" w:rsidRDefault="00AC41F0" w:rsidP="00AC41F0">
      <w:pPr>
        <w:pStyle w:val="BodyText"/>
        <w:jc w:val="both"/>
        <w:rPr>
          <w:sz w:val="18"/>
          <w:szCs w:val="18"/>
        </w:rPr>
      </w:pPr>
      <w:r w:rsidRPr="00A50BD6">
        <w:rPr>
          <w:sz w:val="18"/>
          <w:szCs w:val="18"/>
        </w:rPr>
        <w:t>This is the plan for the future development of the local area, drawn up by the local planning authority in consultation with the community. In law this is described as the development plan documents adopted under the Planning and Compulsory Purchase Act 2004. Current core strategies or other planning policies form part of the Local Plan and are known as ‘</w:t>
      </w:r>
      <w:r>
        <w:rPr>
          <w:sz w:val="18"/>
          <w:szCs w:val="18"/>
        </w:rPr>
        <w:t>Development Plan D</w:t>
      </w:r>
      <w:r w:rsidRPr="00A50BD6">
        <w:rPr>
          <w:sz w:val="18"/>
          <w:szCs w:val="18"/>
        </w:rPr>
        <w:t>ocuments’</w:t>
      </w:r>
      <w:r>
        <w:rPr>
          <w:sz w:val="18"/>
          <w:szCs w:val="18"/>
        </w:rPr>
        <w:t xml:space="preserve"> (DPDs)</w:t>
      </w:r>
      <w:r w:rsidRPr="00A50BD6">
        <w:rPr>
          <w:sz w:val="18"/>
          <w:szCs w:val="18"/>
        </w:rPr>
        <w:t>.</w:t>
      </w:r>
    </w:p>
    <w:p w14:paraId="31FB2078" w14:textId="77777777" w:rsidR="00AC41F0" w:rsidRPr="00A50BD6" w:rsidRDefault="00AC41F0" w:rsidP="00AC41F0">
      <w:pPr>
        <w:pStyle w:val="BodyText"/>
        <w:jc w:val="both"/>
        <w:rPr>
          <w:b/>
          <w:sz w:val="18"/>
          <w:szCs w:val="18"/>
        </w:rPr>
      </w:pPr>
      <w:r w:rsidRPr="00A50BD6">
        <w:rPr>
          <w:b/>
          <w:sz w:val="18"/>
          <w:szCs w:val="18"/>
        </w:rPr>
        <w:t>Lower Quartile</w:t>
      </w:r>
    </w:p>
    <w:p w14:paraId="0A1959B7" w14:textId="77777777" w:rsidR="00AC41F0" w:rsidRPr="00A50BD6" w:rsidRDefault="00AC41F0" w:rsidP="00AC41F0">
      <w:pPr>
        <w:pStyle w:val="BodyText"/>
        <w:jc w:val="both"/>
        <w:rPr>
          <w:sz w:val="18"/>
          <w:szCs w:val="18"/>
        </w:rPr>
      </w:pPr>
      <w:r w:rsidRPr="00A50BD6">
        <w:rPr>
          <w:sz w:val="18"/>
          <w:szCs w:val="18"/>
        </w:rPr>
        <w:t xml:space="preserve">The bottom 25% value, i.e. of all the properties sold, 25% were cheaper than this value and 75% were more expensive. The lower quartile price is used as an entry level price and is the recommended level used to evaluate affordability; for example for first time buyers. </w:t>
      </w:r>
    </w:p>
    <w:p w14:paraId="099364DA" w14:textId="77777777" w:rsidR="00AC41F0" w:rsidRPr="00A50BD6" w:rsidRDefault="00AC41F0" w:rsidP="00AC41F0">
      <w:pPr>
        <w:pStyle w:val="BodyText"/>
        <w:jc w:val="both"/>
        <w:rPr>
          <w:b/>
          <w:sz w:val="18"/>
          <w:szCs w:val="18"/>
        </w:rPr>
      </w:pPr>
      <w:r w:rsidRPr="00A50BD6">
        <w:rPr>
          <w:b/>
          <w:sz w:val="18"/>
          <w:szCs w:val="18"/>
        </w:rPr>
        <w:t>Lower Quartile Affordability Ratio</w:t>
      </w:r>
    </w:p>
    <w:p w14:paraId="7690A87A" w14:textId="77777777" w:rsidR="00AC41F0" w:rsidRPr="00A50BD6" w:rsidRDefault="00AC41F0" w:rsidP="00AC41F0">
      <w:pPr>
        <w:pStyle w:val="BodyText"/>
        <w:jc w:val="both"/>
        <w:rPr>
          <w:sz w:val="18"/>
          <w:szCs w:val="18"/>
        </w:rPr>
      </w:pPr>
      <w:r w:rsidRPr="00A50BD6">
        <w:rPr>
          <w:sz w:val="18"/>
          <w:szCs w:val="18"/>
        </w:rPr>
        <w:t>The Lower Quartile Affordability Ratio reflects the relationship between Lower Quartile Household Incomes and Lower Quartile House Prices, and is a key indicator of affordability of market housing for people on relatively low incomes.</w:t>
      </w:r>
    </w:p>
    <w:p w14:paraId="269C53BF" w14:textId="77777777" w:rsidR="00AC41F0" w:rsidRPr="00A50BD6" w:rsidRDefault="00AC41F0" w:rsidP="00AC41F0">
      <w:pPr>
        <w:pStyle w:val="BodyText"/>
        <w:jc w:val="both"/>
        <w:rPr>
          <w:b/>
          <w:sz w:val="18"/>
          <w:szCs w:val="18"/>
        </w:rPr>
      </w:pPr>
      <w:r w:rsidRPr="00A50BD6">
        <w:rPr>
          <w:b/>
          <w:sz w:val="18"/>
          <w:szCs w:val="18"/>
        </w:rPr>
        <w:t xml:space="preserve">Market Housing </w:t>
      </w:r>
    </w:p>
    <w:p w14:paraId="564590F0" w14:textId="77777777" w:rsidR="00AC41F0" w:rsidRPr="00A50BD6" w:rsidRDefault="00AC41F0" w:rsidP="00AC41F0">
      <w:pPr>
        <w:pStyle w:val="BodyText"/>
        <w:jc w:val="both"/>
        <w:rPr>
          <w:sz w:val="18"/>
          <w:szCs w:val="18"/>
        </w:rPr>
      </w:pPr>
      <w:r w:rsidRPr="00A50BD6">
        <w:rPr>
          <w:sz w:val="18"/>
          <w:szCs w:val="18"/>
        </w:rPr>
        <w:t>Market housing is housing which is built by developers (which may be private companies or housing associations, or Private Registered Providers), for the purposes of sale (or rent) on the open market.</w:t>
      </w:r>
    </w:p>
    <w:p w14:paraId="45D63D20" w14:textId="77777777" w:rsidR="00AC41F0" w:rsidRPr="00A50BD6" w:rsidRDefault="00AC41F0" w:rsidP="00AC41F0">
      <w:pPr>
        <w:pStyle w:val="BodyText"/>
        <w:jc w:val="both"/>
        <w:rPr>
          <w:b/>
          <w:sz w:val="18"/>
          <w:szCs w:val="18"/>
        </w:rPr>
      </w:pPr>
      <w:r w:rsidRPr="00A50BD6">
        <w:rPr>
          <w:b/>
          <w:sz w:val="18"/>
          <w:szCs w:val="18"/>
        </w:rPr>
        <w:t>Mean (Average)</w:t>
      </w:r>
    </w:p>
    <w:p w14:paraId="46F3CAB8" w14:textId="77777777" w:rsidR="00AC41F0" w:rsidRPr="00A50BD6" w:rsidRDefault="00AC41F0" w:rsidP="00AC41F0">
      <w:pPr>
        <w:pStyle w:val="BodyText"/>
        <w:jc w:val="both"/>
        <w:rPr>
          <w:sz w:val="18"/>
          <w:szCs w:val="18"/>
        </w:rPr>
      </w:pPr>
      <w:r w:rsidRPr="00A50BD6">
        <w:rPr>
          <w:sz w:val="18"/>
          <w:szCs w:val="18"/>
        </w:rPr>
        <w:t>The mean or the average is, mathematically, the sum of all values divided by the total number of values. This is the more commonly used “average” measure as it includes all values, unlike the median.</w:t>
      </w:r>
    </w:p>
    <w:p w14:paraId="11B4C35F" w14:textId="77777777" w:rsidR="00AC41F0" w:rsidRPr="00A50BD6" w:rsidRDefault="00AC41F0" w:rsidP="00AC41F0">
      <w:pPr>
        <w:pStyle w:val="BodyText"/>
        <w:jc w:val="both"/>
        <w:rPr>
          <w:b/>
          <w:sz w:val="18"/>
          <w:szCs w:val="18"/>
        </w:rPr>
      </w:pPr>
      <w:r w:rsidRPr="00A50BD6">
        <w:rPr>
          <w:b/>
          <w:sz w:val="18"/>
          <w:szCs w:val="18"/>
        </w:rPr>
        <w:t>Median</w:t>
      </w:r>
    </w:p>
    <w:p w14:paraId="5EB7D4C6" w14:textId="77777777" w:rsidR="00AC41F0" w:rsidRPr="00A50BD6" w:rsidRDefault="00AC41F0" w:rsidP="00AC41F0">
      <w:pPr>
        <w:pStyle w:val="BodyText"/>
        <w:jc w:val="both"/>
        <w:rPr>
          <w:sz w:val="18"/>
          <w:szCs w:val="18"/>
        </w:rPr>
      </w:pPr>
      <w:r w:rsidRPr="00A50BD6">
        <w:rPr>
          <w:sz w:val="18"/>
          <w:szCs w:val="18"/>
        </w:rPr>
        <w:t>The middle value, i.e. of all the properties sold, half were cheaper and half were more expensive. This is sometimes used instead of the mean average as it is not subject to skew by very large or very small statistical outliers.</w:t>
      </w:r>
    </w:p>
    <w:p w14:paraId="4D6A91C9" w14:textId="77777777" w:rsidR="00AC41F0" w:rsidRPr="00A50BD6" w:rsidRDefault="00AC41F0" w:rsidP="00AC41F0">
      <w:pPr>
        <w:pStyle w:val="BodyText"/>
        <w:jc w:val="both"/>
        <w:rPr>
          <w:b/>
          <w:sz w:val="18"/>
          <w:szCs w:val="18"/>
        </w:rPr>
      </w:pPr>
      <w:r w:rsidRPr="00A50BD6">
        <w:rPr>
          <w:b/>
          <w:sz w:val="18"/>
          <w:szCs w:val="18"/>
        </w:rPr>
        <w:t>Median Affordability Ratio</w:t>
      </w:r>
    </w:p>
    <w:p w14:paraId="0C67AE67" w14:textId="77777777" w:rsidR="00AC41F0" w:rsidRDefault="00AC41F0" w:rsidP="00AC41F0">
      <w:pPr>
        <w:pStyle w:val="BodyText"/>
        <w:jc w:val="both"/>
        <w:rPr>
          <w:sz w:val="18"/>
          <w:szCs w:val="18"/>
        </w:rPr>
      </w:pPr>
      <w:r w:rsidRPr="00A50BD6">
        <w:rPr>
          <w:sz w:val="18"/>
          <w:szCs w:val="18"/>
        </w:rPr>
        <w:t>The Lower Quartile Affordability Ratio reflects the relationship between Median Household Incomes and Median House Prices, and is a key indicator of affordability of market housing for people on middle-range incomes.</w:t>
      </w:r>
    </w:p>
    <w:p w14:paraId="3F285A25" w14:textId="77777777" w:rsidR="00AC41F0" w:rsidRPr="00A50BD6" w:rsidRDefault="00AC41F0" w:rsidP="00AC41F0">
      <w:pPr>
        <w:pStyle w:val="BodyText"/>
        <w:jc w:val="both"/>
        <w:rPr>
          <w:b/>
          <w:sz w:val="18"/>
          <w:szCs w:val="18"/>
        </w:rPr>
      </w:pPr>
      <w:r w:rsidRPr="00A50BD6">
        <w:rPr>
          <w:b/>
          <w:sz w:val="18"/>
          <w:szCs w:val="18"/>
        </w:rPr>
        <w:t>Mortgage Ratio</w:t>
      </w:r>
    </w:p>
    <w:p w14:paraId="0A171004" w14:textId="77777777" w:rsidR="00AC41F0" w:rsidRDefault="00AC41F0" w:rsidP="00AC41F0">
      <w:pPr>
        <w:pStyle w:val="BodyText"/>
        <w:jc w:val="both"/>
        <w:rPr>
          <w:sz w:val="18"/>
          <w:szCs w:val="18"/>
        </w:rPr>
      </w:pPr>
      <w:r w:rsidRPr="00A50BD6">
        <w:rPr>
          <w:sz w:val="18"/>
          <w:szCs w:val="18"/>
        </w:rPr>
        <w:t>The mortgage ratio is the ratio of mortgage value to income which is typically deemed acceptable by banks. Approximately 75% of all mortgage lending ratios fell below 4 in recent years</w:t>
      </w:r>
      <w:r w:rsidRPr="00A50BD6">
        <w:rPr>
          <w:rStyle w:val="FootnoteReference"/>
          <w:sz w:val="18"/>
          <w:szCs w:val="18"/>
        </w:rPr>
        <w:footnoteReference w:id="79"/>
      </w:r>
      <w:r w:rsidRPr="00A50BD6">
        <w:rPr>
          <w:sz w:val="18"/>
          <w:szCs w:val="18"/>
        </w:rPr>
        <w:t>, i.e. the total value of the mortgage was less than 4 times the annual income of the person who was granted the mortgage.</w:t>
      </w:r>
    </w:p>
    <w:p w14:paraId="31CE2ED7" w14:textId="77777777" w:rsidR="00AC41F0" w:rsidRPr="008D49A0" w:rsidRDefault="00AC41F0" w:rsidP="00AC41F0">
      <w:pPr>
        <w:pStyle w:val="BodyText"/>
        <w:jc w:val="both"/>
        <w:rPr>
          <w:b/>
          <w:sz w:val="18"/>
          <w:szCs w:val="18"/>
        </w:rPr>
      </w:pPr>
      <w:r w:rsidRPr="008D49A0">
        <w:rPr>
          <w:b/>
          <w:sz w:val="18"/>
          <w:szCs w:val="18"/>
        </w:rPr>
        <w:t>Neighbourhood Development Order (NDO)</w:t>
      </w:r>
    </w:p>
    <w:p w14:paraId="4DE7A939" w14:textId="77777777" w:rsidR="00AC41F0" w:rsidRPr="00A50BD6" w:rsidRDefault="00AC41F0" w:rsidP="00AC41F0">
      <w:pPr>
        <w:pStyle w:val="BodyText"/>
        <w:jc w:val="both"/>
        <w:rPr>
          <w:sz w:val="18"/>
          <w:szCs w:val="18"/>
        </w:rPr>
      </w:pPr>
      <w:r w:rsidRPr="008D49A0">
        <w:rPr>
          <w:sz w:val="18"/>
          <w:szCs w:val="18"/>
        </w:rPr>
        <w:t>An NDO will grant planning permission for a particular type of development in a particul</w:t>
      </w:r>
      <w:r>
        <w:rPr>
          <w:sz w:val="18"/>
          <w:szCs w:val="18"/>
        </w:rPr>
        <w:t xml:space="preserve">ar area. This could be either a </w:t>
      </w:r>
      <w:r w:rsidRPr="008D49A0">
        <w:rPr>
          <w:sz w:val="18"/>
          <w:szCs w:val="18"/>
        </w:rPr>
        <w:t>particular development, or a particular class of development (for example retail or</w:t>
      </w:r>
      <w:r>
        <w:rPr>
          <w:sz w:val="18"/>
          <w:szCs w:val="18"/>
        </w:rPr>
        <w:t xml:space="preserve"> housing). A number of types of </w:t>
      </w:r>
      <w:r w:rsidRPr="008D49A0">
        <w:rPr>
          <w:sz w:val="18"/>
          <w:szCs w:val="18"/>
        </w:rPr>
        <w:t>development will be excluded from NDOs, however. These are minerals and waste de</w:t>
      </w:r>
      <w:r>
        <w:rPr>
          <w:sz w:val="18"/>
          <w:szCs w:val="18"/>
        </w:rPr>
        <w:t xml:space="preserve">velopment, types of development </w:t>
      </w:r>
      <w:r w:rsidRPr="008D49A0">
        <w:rPr>
          <w:sz w:val="18"/>
          <w:szCs w:val="18"/>
        </w:rPr>
        <w:t>that, regardless of scale, always need Environmental Impact Assessment, and Nationally Significant Infrastructure Projects.</w:t>
      </w:r>
    </w:p>
    <w:p w14:paraId="4B53D59C" w14:textId="77777777" w:rsidR="00AC41F0" w:rsidRPr="00A50BD6" w:rsidRDefault="00AC41F0" w:rsidP="00AC41F0">
      <w:pPr>
        <w:pStyle w:val="BodyText"/>
        <w:jc w:val="both"/>
        <w:rPr>
          <w:b/>
          <w:bCs/>
          <w:sz w:val="18"/>
          <w:szCs w:val="18"/>
        </w:rPr>
      </w:pPr>
      <w:r w:rsidRPr="00A50BD6">
        <w:rPr>
          <w:b/>
          <w:bCs/>
          <w:sz w:val="18"/>
          <w:szCs w:val="18"/>
        </w:rPr>
        <w:t>Neighbourhood plan</w:t>
      </w:r>
    </w:p>
    <w:p w14:paraId="6A369CB5" w14:textId="77777777" w:rsidR="00AC41F0" w:rsidRPr="00A50BD6" w:rsidRDefault="00AC41F0" w:rsidP="00AC41F0">
      <w:pPr>
        <w:pStyle w:val="BodyText"/>
        <w:jc w:val="both"/>
        <w:rPr>
          <w:sz w:val="18"/>
          <w:szCs w:val="18"/>
        </w:rPr>
      </w:pPr>
      <w:r w:rsidRPr="00A50BD6">
        <w:rPr>
          <w:sz w:val="18"/>
          <w:szCs w:val="18"/>
        </w:rPr>
        <w:t>A plan prepared by a Parish or Town Council or Neighbourhood Forum for a particular neighbourhood area (made under the Planning and Compulsory Purchase Act 2004).</w:t>
      </w:r>
    </w:p>
    <w:p w14:paraId="4C26C031" w14:textId="77777777" w:rsidR="00AC41F0" w:rsidRPr="00A50BD6" w:rsidRDefault="00AC41F0" w:rsidP="00AC41F0">
      <w:pPr>
        <w:pStyle w:val="BodyText"/>
        <w:jc w:val="both"/>
        <w:rPr>
          <w:b/>
          <w:sz w:val="18"/>
          <w:szCs w:val="18"/>
        </w:rPr>
      </w:pPr>
      <w:r w:rsidRPr="00A50BD6">
        <w:rPr>
          <w:b/>
          <w:sz w:val="18"/>
          <w:szCs w:val="18"/>
        </w:rPr>
        <w:t>Older People</w:t>
      </w:r>
    </w:p>
    <w:p w14:paraId="05A7FBFC" w14:textId="77777777" w:rsidR="00AC41F0" w:rsidRPr="00A50BD6" w:rsidRDefault="00AC41F0" w:rsidP="00AC41F0">
      <w:pPr>
        <w:pStyle w:val="BodyText"/>
        <w:jc w:val="both"/>
        <w:rPr>
          <w:sz w:val="18"/>
          <w:szCs w:val="18"/>
        </w:rPr>
      </w:pPr>
      <w:r w:rsidRPr="00A50BD6">
        <w:rPr>
          <w:sz w:val="18"/>
          <w:szCs w:val="18"/>
        </w:rPr>
        <w:t>People over retirement age, including the active, newly-retired through to the very frail elderly, whose housing needs can encompass accessible, adaptable general needs housing for those looking to downsize from family housing and the full range of retirement and specialised housing for those with support or care needs.</w:t>
      </w:r>
    </w:p>
    <w:p w14:paraId="187AA068" w14:textId="77777777" w:rsidR="00AC41F0" w:rsidRPr="00A50BD6" w:rsidRDefault="00AC41F0" w:rsidP="00AC41F0">
      <w:pPr>
        <w:pStyle w:val="BodyText"/>
        <w:jc w:val="both"/>
        <w:rPr>
          <w:b/>
          <w:sz w:val="18"/>
          <w:szCs w:val="18"/>
        </w:rPr>
      </w:pPr>
      <w:r w:rsidRPr="00A50BD6">
        <w:rPr>
          <w:b/>
          <w:sz w:val="18"/>
          <w:szCs w:val="18"/>
        </w:rPr>
        <w:t>Output Area/Lower Super Output Area/Middle Super Output Area</w:t>
      </w:r>
    </w:p>
    <w:p w14:paraId="33686F8D" w14:textId="77777777" w:rsidR="00AC41F0" w:rsidRDefault="00AC41F0" w:rsidP="00AC41F0">
      <w:pPr>
        <w:pStyle w:val="BodyText"/>
        <w:jc w:val="both"/>
        <w:rPr>
          <w:sz w:val="18"/>
          <w:szCs w:val="18"/>
        </w:rPr>
      </w:pPr>
      <w:r w:rsidRPr="00A50BD6">
        <w:rPr>
          <w:sz w:val="18"/>
          <w:szCs w:val="18"/>
        </w:rPr>
        <w:t>An output area is the lowest level of geography for publishing statistics, and is the core geography from which statistics for other geographies are built. Output areas were created for England and Wales from the 2001 Census data, by grouping a number of households and populations together so that each output area's population is roughly the same. 175,434 output areas were created from the 2001 Census data, each containing a minimum of 100 persons with an average of 300 persons.  Lower Super Output Areas consist of higher geographies of between 1,000-1,500 persons (made up of a number of individual Output Areas) and Middle Super Output Areas are higher than this, containing between 5,000 and 7,200 people, and made up of individual Lower Layer Super Output Areas. Some statistics are only available down to Middle Layer Super Output Area level, meaning that they are not available for individual Output Areas or parishes.</w:t>
      </w:r>
    </w:p>
    <w:p w14:paraId="488C4FC9" w14:textId="77777777" w:rsidR="00AC41F0" w:rsidRPr="00A50BD6" w:rsidRDefault="00AC41F0" w:rsidP="00AC41F0">
      <w:pPr>
        <w:pStyle w:val="BodyText"/>
        <w:jc w:val="both"/>
        <w:rPr>
          <w:b/>
          <w:sz w:val="18"/>
          <w:szCs w:val="18"/>
        </w:rPr>
      </w:pPr>
      <w:r w:rsidRPr="00A50BD6">
        <w:rPr>
          <w:b/>
          <w:sz w:val="18"/>
          <w:szCs w:val="18"/>
        </w:rPr>
        <w:t>Overcrowding</w:t>
      </w:r>
    </w:p>
    <w:p w14:paraId="49DDAA82" w14:textId="77777777" w:rsidR="00AC41F0" w:rsidRPr="00A50BD6" w:rsidRDefault="00AC41F0" w:rsidP="00AC41F0">
      <w:pPr>
        <w:pStyle w:val="BodyText"/>
        <w:jc w:val="both"/>
        <w:rPr>
          <w:sz w:val="18"/>
          <w:szCs w:val="18"/>
        </w:rPr>
      </w:pPr>
      <w:r w:rsidRPr="00A50BD6">
        <w:rPr>
          <w:sz w:val="18"/>
          <w:szCs w:val="18"/>
        </w:rPr>
        <w:t>There is no single agreed definition of overcrowding, however, utilising the Government’s bedroom standard, overcrowding is deemed to be in households where there is more than one person in the household per room (excluding kitchens, bathrooms, halls and storage areas). As such, a home with one bedroom and one living room and one kitchen would be deemed overcrowded if three adults were living there.</w:t>
      </w:r>
    </w:p>
    <w:p w14:paraId="57E32AEC" w14:textId="77777777" w:rsidR="00AC41F0" w:rsidRPr="00A50BD6" w:rsidRDefault="00AC41F0" w:rsidP="00AC41F0">
      <w:pPr>
        <w:pStyle w:val="BodyText"/>
        <w:jc w:val="both"/>
        <w:rPr>
          <w:b/>
          <w:sz w:val="18"/>
          <w:szCs w:val="18"/>
        </w:rPr>
      </w:pPr>
      <w:r w:rsidRPr="00A50BD6">
        <w:rPr>
          <w:b/>
          <w:sz w:val="18"/>
          <w:szCs w:val="18"/>
        </w:rPr>
        <w:t>Planning Condition</w:t>
      </w:r>
    </w:p>
    <w:p w14:paraId="40F27694" w14:textId="77777777" w:rsidR="00AC41F0" w:rsidRPr="00A50BD6" w:rsidRDefault="00AC41F0" w:rsidP="00AC41F0">
      <w:pPr>
        <w:pStyle w:val="BodyText"/>
        <w:jc w:val="both"/>
        <w:rPr>
          <w:sz w:val="18"/>
          <w:szCs w:val="18"/>
        </w:rPr>
      </w:pPr>
      <w:r w:rsidRPr="00A50BD6">
        <w:rPr>
          <w:sz w:val="18"/>
          <w:szCs w:val="18"/>
        </w:rPr>
        <w:t>A condition imposed on a grant of planning permission (in accordance with the Town and Country Planning Act 1990) or a condition included in a Local Development Order or Neighbourhood Development Order.</w:t>
      </w:r>
    </w:p>
    <w:p w14:paraId="30BBD340" w14:textId="77777777" w:rsidR="00AC41F0" w:rsidRPr="00A50BD6" w:rsidRDefault="00AC41F0" w:rsidP="00AC41F0">
      <w:pPr>
        <w:pStyle w:val="BodyText"/>
        <w:jc w:val="both"/>
        <w:rPr>
          <w:b/>
          <w:sz w:val="18"/>
          <w:szCs w:val="18"/>
        </w:rPr>
      </w:pPr>
      <w:r w:rsidRPr="00A50BD6">
        <w:rPr>
          <w:b/>
          <w:sz w:val="18"/>
          <w:szCs w:val="18"/>
        </w:rPr>
        <w:t>Planning Obligation</w:t>
      </w:r>
    </w:p>
    <w:p w14:paraId="30A3FCAB" w14:textId="77777777" w:rsidR="00AC41F0" w:rsidRPr="00A50BD6" w:rsidRDefault="00AC41F0" w:rsidP="00AC41F0">
      <w:pPr>
        <w:pStyle w:val="BodyText"/>
        <w:jc w:val="both"/>
        <w:rPr>
          <w:sz w:val="18"/>
          <w:szCs w:val="18"/>
        </w:rPr>
      </w:pPr>
      <w:r w:rsidRPr="00A50BD6">
        <w:rPr>
          <w:sz w:val="18"/>
          <w:szCs w:val="18"/>
        </w:rPr>
        <w:t>A legally enforceable obligation entered into under section 106 of the Town and Country Planning Act 1990 to mitigate the impacts of a development proposal.</w:t>
      </w:r>
    </w:p>
    <w:p w14:paraId="1E20EB5D" w14:textId="77777777" w:rsidR="00AC41F0" w:rsidRPr="00A50BD6" w:rsidRDefault="00AC41F0" w:rsidP="00AC41F0">
      <w:pPr>
        <w:pStyle w:val="BodyText"/>
        <w:jc w:val="both"/>
        <w:rPr>
          <w:b/>
          <w:sz w:val="18"/>
          <w:szCs w:val="18"/>
        </w:rPr>
      </w:pPr>
      <w:r w:rsidRPr="00A50BD6">
        <w:rPr>
          <w:b/>
          <w:sz w:val="18"/>
          <w:szCs w:val="18"/>
        </w:rPr>
        <w:t>Purchase Threshold</w:t>
      </w:r>
    </w:p>
    <w:p w14:paraId="6FF20DF2" w14:textId="77777777" w:rsidR="00AC41F0" w:rsidRDefault="00AC41F0" w:rsidP="00AC41F0">
      <w:pPr>
        <w:pStyle w:val="BodyText"/>
        <w:jc w:val="both"/>
        <w:rPr>
          <w:sz w:val="18"/>
          <w:szCs w:val="18"/>
        </w:rPr>
      </w:pPr>
      <w:r w:rsidRPr="00A50BD6">
        <w:rPr>
          <w:sz w:val="18"/>
          <w:szCs w:val="18"/>
        </w:rPr>
        <w:t xml:space="preserve">Purchase thresholds are calculated by netting 10% off the entry house price to reflect purchase deposit. The resulting cost is divided by 4 to reflect the standard household income requirement to access mortgage products. </w:t>
      </w:r>
    </w:p>
    <w:p w14:paraId="1B6B3E49" w14:textId="77777777" w:rsidR="00AC41F0" w:rsidRPr="00A50BD6" w:rsidRDefault="00AC41F0" w:rsidP="00AC41F0">
      <w:pPr>
        <w:pStyle w:val="BodyText"/>
        <w:jc w:val="both"/>
        <w:rPr>
          <w:b/>
          <w:sz w:val="18"/>
          <w:szCs w:val="18"/>
        </w:rPr>
      </w:pPr>
      <w:r w:rsidRPr="00A50BD6">
        <w:rPr>
          <w:b/>
          <w:sz w:val="18"/>
          <w:szCs w:val="18"/>
        </w:rPr>
        <w:t xml:space="preserve">Proportionate and Robust Evidence </w:t>
      </w:r>
    </w:p>
    <w:p w14:paraId="7C412DBD" w14:textId="77777777" w:rsidR="00AC41F0" w:rsidRPr="00A50BD6" w:rsidRDefault="00AC41F0" w:rsidP="00AC41F0">
      <w:pPr>
        <w:pStyle w:val="BodyText"/>
        <w:jc w:val="both"/>
        <w:rPr>
          <w:sz w:val="18"/>
          <w:szCs w:val="18"/>
        </w:rPr>
      </w:pPr>
      <w:r w:rsidRPr="00A50BD6">
        <w:rPr>
          <w:sz w:val="18"/>
          <w:szCs w:val="18"/>
        </w:rPr>
        <w:t xml:space="preserve">Proportionate and robust evidence is evidence which is deemed appropriate in scale, scope and depth for the purposes of neighbourhood planning, sufficient so as to meet the Basic Conditions, as well as robust enough to withstand legal challenge. It is referred to a number of times in the PPG and its definition and interpretation relies on the judgement of professionals such as Neighbourhood Plan Examiners. </w:t>
      </w:r>
    </w:p>
    <w:p w14:paraId="6B84A6D7" w14:textId="77777777" w:rsidR="00AC41F0" w:rsidRPr="00A50BD6" w:rsidRDefault="00AC41F0" w:rsidP="00AC41F0">
      <w:pPr>
        <w:pStyle w:val="BodyText"/>
        <w:jc w:val="both"/>
        <w:rPr>
          <w:b/>
          <w:sz w:val="18"/>
          <w:szCs w:val="18"/>
        </w:rPr>
      </w:pPr>
      <w:r w:rsidRPr="00A50BD6">
        <w:rPr>
          <w:b/>
          <w:sz w:val="18"/>
          <w:szCs w:val="18"/>
        </w:rPr>
        <w:t>Private Rented</w:t>
      </w:r>
    </w:p>
    <w:p w14:paraId="5B01779F" w14:textId="77777777" w:rsidR="00AC41F0" w:rsidRPr="00A50BD6" w:rsidRDefault="00AC41F0" w:rsidP="00AC41F0">
      <w:pPr>
        <w:pStyle w:val="BodyText"/>
        <w:jc w:val="both"/>
        <w:rPr>
          <w:sz w:val="18"/>
          <w:szCs w:val="18"/>
        </w:rPr>
      </w:pPr>
      <w:r w:rsidRPr="00A50BD6">
        <w:rPr>
          <w:sz w:val="18"/>
          <w:szCs w:val="18"/>
        </w:rPr>
        <w:t>The Census tenure private rented includes a range of different living situations in practice, such as private rented/ other including households living “rent free”. Around 20% of the private rented sector are in this category, which will have included some benefit claimants whose housing benefit at the time was paid directly to their landlord. This could mean people whose rent is paid by their employer, including some people in the armed forces. Some housing association tenants may also have been counted as living in the private rented sector because of confusion about what a housing association is.</w:t>
      </w:r>
    </w:p>
    <w:p w14:paraId="6256EFCB" w14:textId="77777777" w:rsidR="00AC41F0" w:rsidRDefault="00AC41F0" w:rsidP="00AC41F0">
      <w:pPr>
        <w:pStyle w:val="BodyText"/>
        <w:jc w:val="both"/>
        <w:rPr>
          <w:b/>
          <w:sz w:val="18"/>
          <w:szCs w:val="18"/>
        </w:rPr>
      </w:pPr>
      <w:r w:rsidRPr="00047BE3">
        <w:rPr>
          <w:b/>
          <w:sz w:val="18"/>
          <w:szCs w:val="18"/>
        </w:rPr>
        <w:t xml:space="preserve">Retirement Living </w:t>
      </w:r>
      <w:r>
        <w:rPr>
          <w:b/>
          <w:sz w:val="18"/>
          <w:szCs w:val="18"/>
        </w:rPr>
        <w:t>o</w:t>
      </w:r>
      <w:r w:rsidRPr="00047BE3">
        <w:rPr>
          <w:b/>
          <w:sz w:val="18"/>
          <w:szCs w:val="18"/>
        </w:rPr>
        <w:t>r Sheltered Housing</w:t>
      </w:r>
    </w:p>
    <w:p w14:paraId="3C3A2134" w14:textId="77777777" w:rsidR="00AC41F0" w:rsidRDefault="00AC41F0" w:rsidP="00AC41F0">
      <w:pPr>
        <w:pStyle w:val="BodyText"/>
        <w:jc w:val="both"/>
        <w:rPr>
          <w:sz w:val="18"/>
          <w:szCs w:val="18"/>
        </w:rPr>
      </w:pPr>
      <w:r>
        <w:rPr>
          <w:sz w:val="18"/>
          <w:szCs w:val="18"/>
        </w:rPr>
        <w:t xml:space="preserve">Housing for older people which </w:t>
      </w:r>
      <w:r w:rsidRPr="00047BE3">
        <w:rPr>
          <w:sz w:val="18"/>
          <w:szCs w:val="18"/>
        </w:rPr>
        <w:t>usually consists of purpose-built flats or bungalows with limited communal facilities such as a lounge, laundry room and guest room. It does not generally provide care services, but provides some support to enable residents to live independently. This can include 24 hour on-site assistance (alarm) and a warden or house manager.</w:t>
      </w:r>
    </w:p>
    <w:p w14:paraId="1D18954B" w14:textId="77777777" w:rsidR="00AC41F0" w:rsidRPr="00047BE3" w:rsidRDefault="00AC41F0" w:rsidP="00AC41F0">
      <w:pPr>
        <w:pStyle w:val="BodyText"/>
        <w:jc w:val="both"/>
        <w:rPr>
          <w:b/>
          <w:sz w:val="18"/>
          <w:szCs w:val="18"/>
        </w:rPr>
      </w:pPr>
      <w:r w:rsidRPr="00047BE3">
        <w:rPr>
          <w:b/>
          <w:sz w:val="18"/>
          <w:szCs w:val="18"/>
        </w:rPr>
        <w:t xml:space="preserve">Residential Care Homes </w:t>
      </w:r>
      <w:r>
        <w:rPr>
          <w:b/>
          <w:sz w:val="18"/>
          <w:szCs w:val="18"/>
        </w:rPr>
        <w:t>a</w:t>
      </w:r>
      <w:r w:rsidRPr="00047BE3">
        <w:rPr>
          <w:b/>
          <w:sz w:val="18"/>
          <w:szCs w:val="18"/>
        </w:rPr>
        <w:t>nd Nursing Homes</w:t>
      </w:r>
    </w:p>
    <w:p w14:paraId="53242A13" w14:textId="77777777" w:rsidR="00AC41F0" w:rsidRPr="00047BE3" w:rsidRDefault="00AC41F0" w:rsidP="00AC41F0">
      <w:pPr>
        <w:pStyle w:val="BodyText"/>
        <w:jc w:val="both"/>
        <w:rPr>
          <w:sz w:val="18"/>
          <w:szCs w:val="18"/>
        </w:rPr>
      </w:pPr>
      <w:r>
        <w:rPr>
          <w:sz w:val="18"/>
          <w:szCs w:val="18"/>
        </w:rPr>
        <w:t>Housing for older people comprising of</w:t>
      </w:r>
      <w:r w:rsidRPr="00047BE3">
        <w:rPr>
          <w:sz w:val="18"/>
          <w:szCs w:val="18"/>
        </w:rPr>
        <w:t xml:space="preserve"> individual rooms within a residential building and provide a high level of care meeting all activities of daily living. They do not usually include support services for independent living. This type of housing can also include dementia care homes.</w:t>
      </w:r>
    </w:p>
    <w:p w14:paraId="5E4121B5" w14:textId="7567F841" w:rsidR="0040775E" w:rsidRDefault="0040775E" w:rsidP="00AC41F0">
      <w:pPr>
        <w:pStyle w:val="BodyText"/>
        <w:jc w:val="both"/>
        <w:rPr>
          <w:b/>
          <w:sz w:val="18"/>
          <w:szCs w:val="18"/>
        </w:rPr>
      </w:pPr>
      <w:r>
        <w:rPr>
          <w:b/>
          <w:sz w:val="18"/>
          <w:szCs w:val="18"/>
        </w:rPr>
        <w:t>Rightsizing</w:t>
      </w:r>
    </w:p>
    <w:p w14:paraId="30ABBBAB" w14:textId="37F35F8A" w:rsidR="0040775E" w:rsidRPr="0040775E" w:rsidRDefault="0040775E" w:rsidP="00AC41F0">
      <w:pPr>
        <w:pStyle w:val="BodyText"/>
        <w:jc w:val="both"/>
        <w:rPr>
          <w:sz w:val="18"/>
          <w:szCs w:val="18"/>
        </w:rPr>
      </w:pPr>
      <w:r>
        <w:rPr>
          <w:sz w:val="18"/>
          <w:szCs w:val="18"/>
        </w:rPr>
        <w:t>Households who wish to move into a property that is a more appropriate size for their needs can be said to be rightsizing. This is often used to refer to older households who may be living in large family homes but whose children have left, and who intend to rightsize to a smaller dwelling. The popularity of this trend is debatable as ties to existing communities and the home itself may outweigh issues of space. Other factors, including wealth, health, status and family circumstance also need to be taken into consideration, and it should not be assumed that all older households in large dwellings wish to rightsize.</w:t>
      </w:r>
    </w:p>
    <w:p w14:paraId="2D6EEDD9" w14:textId="54A87945" w:rsidR="00AC41F0" w:rsidRPr="00A50BD6" w:rsidRDefault="00AC41F0" w:rsidP="00AC41F0">
      <w:pPr>
        <w:pStyle w:val="BodyText"/>
        <w:jc w:val="both"/>
        <w:rPr>
          <w:b/>
          <w:sz w:val="18"/>
          <w:szCs w:val="18"/>
        </w:rPr>
      </w:pPr>
      <w:r w:rsidRPr="00A50BD6">
        <w:rPr>
          <w:b/>
          <w:sz w:val="18"/>
          <w:szCs w:val="18"/>
        </w:rPr>
        <w:t>Rural Exception Sites</w:t>
      </w:r>
    </w:p>
    <w:p w14:paraId="13A77A99" w14:textId="77777777" w:rsidR="00AC41F0" w:rsidRPr="00404758" w:rsidRDefault="00AC41F0" w:rsidP="00AC41F0">
      <w:pPr>
        <w:pStyle w:val="BodyText"/>
        <w:jc w:val="both"/>
        <w:rPr>
          <w:sz w:val="18"/>
          <w:szCs w:val="18"/>
        </w:rPr>
      </w:pPr>
      <w:r w:rsidRPr="00A50BD6">
        <w:rPr>
          <w:sz w:val="18"/>
          <w:szCs w:val="18"/>
        </w:rPr>
        <w:t>Small sites used for affordable housing in perpetuity where sites would not normally be used for housing. Rural exception sites seek to address the needs of the local community by accommodating households who are either current residents or have an existing family or employment connection. Small numbers of market homes may be allowed at the local authority’s discretion, for example where essential to enable the delivery of affordable dwellings without grant funding.</w:t>
      </w:r>
    </w:p>
    <w:p w14:paraId="1B16EE1D" w14:textId="77777777" w:rsidR="00AC41F0" w:rsidRPr="00A50BD6" w:rsidRDefault="00AC41F0" w:rsidP="00AC41F0">
      <w:pPr>
        <w:pStyle w:val="BodyText"/>
        <w:jc w:val="both"/>
        <w:rPr>
          <w:b/>
          <w:sz w:val="18"/>
          <w:szCs w:val="18"/>
        </w:rPr>
      </w:pPr>
      <w:r w:rsidRPr="00A50BD6">
        <w:rPr>
          <w:b/>
          <w:sz w:val="18"/>
          <w:szCs w:val="18"/>
        </w:rPr>
        <w:t>Shared Ownership</w:t>
      </w:r>
    </w:p>
    <w:p w14:paraId="59B9A0A8" w14:textId="77777777" w:rsidR="00AC41F0" w:rsidRPr="00A50BD6" w:rsidRDefault="00AC41F0" w:rsidP="00AC41F0">
      <w:pPr>
        <w:pStyle w:val="BodyText"/>
        <w:jc w:val="both"/>
        <w:rPr>
          <w:sz w:val="18"/>
          <w:szCs w:val="18"/>
        </w:rPr>
      </w:pPr>
      <w:r w:rsidRPr="00A50BD6">
        <w:rPr>
          <w:sz w:val="18"/>
          <w:szCs w:val="18"/>
        </w:rPr>
        <w:t>Housing where a purchaser part buys and part rents from a housing association or local authority. Typical purchase share is between 25% and 75%, and buyers are encouraged to buy the largest share they can afford. Generally applies to new build properties, but re</w:t>
      </w:r>
      <w:r w:rsidRPr="00A50BD6">
        <w:rPr>
          <w:rFonts w:ascii="Cambria Math" w:hAnsi="Cambria Math" w:cs="Cambria Math"/>
          <w:sz w:val="18"/>
          <w:szCs w:val="18"/>
        </w:rPr>
        <w:t>‐</w:t>
      </w:r>
      <w:r w:rsidRPr="00A50BD6">
        <w:rPr>
          <w:sz w:val="18"/>
          <w:szCs w:val="18"/>
        </w:rPr>
        <w:t>sales occasionally become available. There may be an opportunity to rent at intermediate rent level before purchasing a share in order to save/increase the deposit level</w:t>
      </w:r>
    </w:p>
    <w:p w14:paraId="415529DE" w14:textId="77777777" w:rsidR="00AC41F0" w:rsidRPr="00A50BD6" w:rsidRDefault="00AC41F0" w:rsidP="00AC41F0">
      <w:pPr>
        <w:pStyle w:val="BodyText"/>
        <w:jc w:val="both"/>
        <w:rPr>
          <w:b/>
          <w:sz w:val="18"/>
          <w:szCs w:val="18"/>
        </w:rPr>
      </w:pPr>
      <w:r w:rsidRPr="00A50BD6">
        <w:rPr>
          <w:b/>
          <w:sz w:val="18"/>
          <w:szCs w:val="18"/>
        </w:rPr>
        <w:t>Sheltered Housing</w:t>
      </w:r>
      <w:r w:rsidRPr="00A50BD6">
        <w:rPr>
          <w:rStyle w:val="FootnoteReference"/>
          <w:b/>
          <w:sz w:val="18"/>
          <w:szCs w:val="18"/>
        </w:rPr>
        <w:footnoteReference w:id="80"/>
      </w:r>
    </w:p>
    <w:p w14:paraId="7B340582" w14:textId="77777777" w:rsidR="00AC41F0" w:rsidRPr="00A50BD6" w:rsidRDefault="00AC41F0" w:rsidP="00AC41F0">
      <w:pPr>
        <w:pStyle w:val="BodyText"/>
        <w:jc w:val="both"/>
        <w:rPr>
          <w:sz w:val="18"/>
          <w:szCs w:val="18"/>
        </w:rPr>
      </w:pPr>
      <w:r w:rsidRPr="00A50BD6">
        <w:rPr>
          <w:sz w:val="18"/>
          <w:szCs w:val="18"/>
        </w:rPr>
        <w:t>Sheltered housing (also known as retirement housing) means having your own flat or bungalow in a block, or on a small estate, where all the other residents are older people (usually over 55). With a few exceptions, all developments (or 'schemes') provide independent, self-contained homes with their own front doors. There are many different types of scheme, both to rent and to buy. They usually contain between 15 and 40 properties, and range in size from studio flats (or 'bedsits') through to 2 and 3 bedroomed. Properties in most schemes are designed to make life a little easier for older people - with features like raised electric sockets, lowered worktops, walk-in showers, and so on. Some will usually be designed to accommodate wheelchair users. And they are usually linked to an emergency alarm service (sometimes called 'community alarm service') to call help if needed. Many schemes also have their own 'manager' or 'warden', either living on-site or nearby, whose job is to manage the scheme and help arrange any services residents need. Managed schemes will also usually have some shared or communal facilities such as a lounge for residents to meet, a laundry, a guest flat and a garden.</w:t>
      </w:r>
    </w:p>
    <w:p w14:paraId="15C44098" w14:textId="77777777" w:rsidR="00AC41F0" w:rsidRPr="00A50BD6" w:rsidRDefault="00AC41F0" w:rsidP="00AC41F0">
      <w:pPr>
        <w:pStyle w:val="BodyText"/>
        <w:jc w:val="both"/>
        <w:rPr>
          <w:b/>
          <w:bCs/>
          <w:sz w:val="18"/>
          <w:szCs w:val="18"/>
        </w:rPr>
      </w:pPr>
      <w:r w:rsidRPr="00A50BD6">
        <w:rPr>
          <w:b/>
          <w:bCs/>
          <w:sz w:val="18"/>
          <w:szCs w:val="18"/>
        </w:rPr>
        <w:t xml:space="preserve">Strategic Housing Land Availability Assessment </w:t>
      </w:r>
    </w:p>
    <w:p w14:paraId="24EEBE25" w14:textId="77777777" w:rsidR="00AC41F0" w:rsidRPr="00A50BD6" w:rsidRDefault="00AC41F0" w:rsidP="00AC41F0">
      <w:pPr>
        <w:pStyle w:val="BodyText"/>
        <w:jc w:val="both"/>
        <w:rPr>
          <w:sz w:val="18"/>
          <w:szCs w:val="18"/>
        </w:rPr>
      </w:pPr>
      <w:r w:rsidRPr="00A50BD6">
        <w:rPr>
          <w:sz w:val="18"/>
          <w:szCs w:val="18"/>
        </w:rPr>
        <w:t>A Strategic Housing Land Availability Assessment (SHLAA) is a document prepared by one or more local planning authorities to establish realistic assumptions about the availability, suitability and the likely economic viability of land to meet the identi</w:t>
      </w:r>
      <w:r>
        <w:rPr>
          <w:sz w:val="18"/>
          <w:szCs w:val="18"/>
        </w:rPr>
        <w:t>fied need for housing over the P</w:t>
      </w:r>
      <w:r w:rsidRPr="00A50BD6">
        <w:rPr>
          <w:sz w:val="18"/>
          <w:szCs w:val="18"/>
        </w:rPr>
        <w:t>lan period.  SHLAAs are sometimes also called LAAs (Land Availability Assessments) or HELAAs (Housing and Economic Land Availability Assessments) so as to integrate the need to balance assessed housing and economic needs as described below.</w:t>
      </w:r>
    </w:p>
    <w:p w14:paraId="76014A62" w14:textId="77777777" w:rsidR="00AC41F0" w:rsidRPr="00A50BD6" w:rsidRDefault="00AC41F0" w:rsidP="00AC41F0">
      <w:pPr>
        <w:pStyle w:val="BodyText"/>
        <w:jc w:val="both"/>
        <w:rPr>
          <w:b/>
          <w:sz w:val="18"/>
          <w:szCs w:val="18"/>
        </w:rPr>
      </w:pPr>
      <w:r w:rsidRPr="00A50BD6">
        <w:rPr>
          <w:b/>
          <w:bCs/>
          <w:sz w:val="18"/>
          <w:szCs w:val="18"/>
        </w:rPr>
        <w:t>Strategic Housing Market Assessment (NPPF Definition)</w:t>
      </w:r>
    </w:p>
    <w:p w14:paraId="2A8F939B" w14:textId="77777777" w:rsidR="00AC41F0" w:rsidRPr="00A50BD6" w:rsidRDefault="00AC41F0" w:rsidP="00AC41F0">
      <w:pPr>
        <w:pStyle w:val="BodyText"/>
        <w:jc w:val="both"/>
        <w:rPr>
          <w:sz w:val="18"/>
          <w:szCs w:val="18"/>
        </w:rPr>
      </w:pPr>
      <w:r w:rsidRPr="00A50BD6">
        <w:rPr>
          <w:sz w:val="18"/>
          <w:szCs w:val="18"/>
        </w:rPr>
        <w:t>A Strategic Housing Market Assessment (SHMA) is a document prepared by one or more local planning authorities to assess their housing needs under the 2012 version of the NPPF, usually across administrative boundaries to encompass the whole housing market area. The NPPF makes clear that SHMAs should identify the scale and mix of housing and the range of tenures the local populat</w:t>
      </w:r>
      <w:r>
        <w:rPr>
          <w:sz w:val="18"/>
          <w:szCs w:val="18"/>
        </w:rPr>
        <w:t>ion is likely to need over the P</w:t>
      </w:r>
      <w:r w:rsidRPr="00A50BD6">
        <w:rPr>
          <w:sz w:val="18"/>
          <w:szCs w:val="18"/>
        </w:rPr>
        <w:t>lan period. Sometimes SHMAs are combined with Economic Development Needs Assessments to create documents known as HEDNAs (Housing and Economic Development Needs Assessments).</w:t>
      </w:r>
    </w:p>
    <w:p w14:paraId="611E5A7A" w14:textId="77777777" w:rsidR="00AC41F0" w:rsidRPr="00A50BD6" w:rsidRDefault="00AC41F0" w:rsidP="00AC41F0">
      <w:pPr>
        <w:pStyle w:val="BodyText"/>
        <w:jc w:val="both"/>
        <w:rPr>
          <w:b/>
          <w:sz w:val="18"/>
          <w:szCs w:val="18"/>
        </w:rPr>
      </w:pPr>
      <w:r w:rsidRPr="00A50BD6">
        <w:rPr>
          <w:b/>
          <w:sz w:val="18"/>
          <w:szCs w:val="18"/>
        </w:rPr>
        <w:t>Specialist Housing for the Elderly</w:t>
      </w:r>
    </w:p>
    <w:p w14:paraId="6481EADC" w14:textId="77777777" w:rsidR="00AC41F0" w:rsidRPr="00A50BD6" w:rsidRDefault="00AC41F0" w:rsidP="00AC41F0">
      <w:pPr>
        <w:pStyle w:val="BodyText"/>
        <w:jc w:val="both"/>
        <w:rPr>
          <w:sz w:val="18"/>
          <w:szCs w:val="18"/>
        </w:rPr>
      </w:pPr>
      <w:r w:rsidRPr="00A50BD6">
        <w:rPr>
          <w:sz w:val="18"/>
          <w:szCs w:val="18"/>
        </w:rPr>
        <w:t>Specialist housing for the elderly, sometimes known as specialist accommodation for the elderly, encompasses a wide range of housing types specifically aimed at older people, which may often be restricted to those in certain older age groups (usually 55+ or 65+). This could include residential institutions, sometimes known as care homes, sheltered housing, extra care housing, retirement housing and a range of other potential types of housing which has been designed and built to serve the needs of older people, including often providing care or other additional services. This housing can be provided in a range of tenures (often on a rented or leasehold basis).</w:t>
      </w:r>
    </w:p>
    <w:p w14:paraId="671BF361" w14:textId="77777777" w:rsidR="00AC41F0" w:rsidRPr="00A50BD6" w:rsidRDefault="00AC41F0" w:rsidP="00AC41F0">
      <w:pPr>
        <w:pStyle w:val="BodyText"/>
        <w:jc w:val="both"/>
        <w:rPr>
          <w:b/>
          <w:sz w:val="18"/>
          <w:szCs w:val="18"/>
        </w:rPr>
      </w:pPr>
      <w:r w:rsidRPr="00A50BD6">
        <w:rPr>
          <w:b/>
          <w:sz w:val="18"/>
          <w:szCs w:val="18"/>
        </w:rPr>
        <w:t>Social Rented Housing</w:t>
      </w:r>
    </w:p>
    <w:p w14:paraId="3654BAF0" w14:textId="77777777" w:rsidR="00AC41F0" w:rsidRPr="00A50BD6" w:rsidRDefault="00AC41F0" w:rsidP="00AC41F0">
      <w:pPr>
        <w:spacing w:before="0" w:after="0" w:line="240" w:lineRule="auto"/>
        <w:jc w:val="both"/>
        <w:rPr>
          <w:sz w:val="18"/>
          <w:szCs w:val="18"/>
        </w:rPr>
      </w:pPr>
      <w:r w:rsidRPr="00A50BD6">
        <w:rPr>
          <w:sz w:val="18"/>
          <w:szCs w:val="18"/>
        </w:rPr>
        <w:t>Social rented housing is owned by local authorities and private registered providers (as defined in Section 80 of the Housing and Regeneration Act 2008.). Guideline target rents for this tenure are determined through the national rent regime. It may also be owned by other persons and provided under equivalent rental arrangements to the above, as agreed with the local authority or with Homes England.</w:t>
      </w:r>
      <w:r w:rsidRPr="00A50BD6">
        <w:rPr>
          <w:rStyle w:val="FootnoteReference"/>
          <w:sz w:val="18"/>
          <w:szCs w:val="18"/>
        </w:rPr>
        <w:footnoteReference w:id="81"/>
      </w:r>
    </w:p>
    <w:p w14:paraId="6B9455D6" w14:textId="77777777" w:rsidR="00AC41F0" w:rsidRDefault="00AC41F0" w:rsidP="00AC41F0">
      <w:pPr>
        <w:spacing w:before="0" w:after="0" w:line="240" w:lineRule="auto"/>
        <w:jc w:val="both"/>
      </w:pPr>
      <w:r>
        <w:br w:type="page"/>
      </w:r>
    </w:p>
    <w:p w14:paraId="6A472C07" w14:textId="77777777" w:rsidR="002C2D5C" w:rsidRPr="004F6A79" w:rsidRDefault="002C2D5C" w:rsidP="002C2D5C">
      <w:pPr>
        <w:pStyle w:val="BodyText"/>
        <w:jc w:val="both"/>
        <w:sectPr w:rsidR="002C2D5C" w:rsidRPr="004F6A79" w:rsidSect="00273002">
          <w:pgSz w:w="11907" w:h="16839" w:code="9"/>
          <w:pgMar w:top="1440" w:right="1080" w:bottom="1080" w:left="993" w:header="432" w:footer="432" w:gutter="0"/>
          <w:cols w:space="720"/>
          <w:docGrid w:linePitch="360"/>
        </w:sectPr>
      </w:pPr>
    </w:p>
    <w:p w14:paraId="4770EEAC" w14:textId="77777777" w:rsidR="002C2D5C" w:rsidRPr="00B90B1C" w:rsidRDefault="002C2D5C" w:rsidP="002C2D5C">
      <w:pPr>
        <w:pStyle w:val="BodyText"/>
        <w:jc w:val="both"/>
        <w:rPr>
          <w:lang w:val="en-US"/>
        </w:rPr>
      </w:pPr>
      <w:r w:rsidRPr="004E1B08">
        <w:rPr>
          <w:noProof/>
        </w:rPr>
        <mc:AlternateContent>
          <mc:Choice Requires="wps">
            <w:drawing>
              <wp:anchor distT="0" distB="0" distL="114300" distR="114300" simplePos="0" relativeHeight="251661312" behindDoc="1" locked="0" layoutInCell="0" allowOverlap="0" wp14:anchorId="54AEFACA" wp14:editId="57D80AD9">
                <wp:simplePos x="0" y="0"/>
                <wp:positionH relativeFrom="page">
                  <wp:posOffset>19050</wp:posOffset>
                </wp:positionH>
                <wp:positionV relativeFrom="page">
                  <wp:posOffset>-19050</wp:posOffset>
                </wp:positionV>
                <wp:extent cx="6068695" cy="1080135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801350"/>
                        </a:xfrm>
                        <a:prstGeom prst="rect">
                          <a:avLst/>
                        </a:prstGeom>
                        <a:solidFill>
                          <a:srgbClr val="00B5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7E779F58" id="BackCoverBlue" o:spid="_x0000_s1026" style="position:absolute;margin-left:1.5pt;margin-top:-1.5pt;width:477.85pt;height:850.5pt;z-index:-2516551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" o:allowincell="f" o:allowoverlap="f" fillcolor="#00b5e2" stroked="f" strokeweight="2pt">
                <w10:wrap anchorx="page" anchory="page"/>
              </v:rect>
            </w:pict>
          </mc:Fallback>
        </mc:AlternateContent>
      </w:r>
    </w:p>
    <w:p w14:paraId="52810610" w14:textId="77777777" w:rsidR="002C2D5C" w:rsidRDefault="002C2D5C" w:rsidP="002C2D5C">
      <w:pPr>
        <w:pStyle w:val="BodyText"/>
        <w:jc w:val="both"/>
      </w:pPr>
    </w:p>
    <w:p w14:paraId="3AD27BE3" w14:textId="77777777" w:rsidR="002C2D5C" w:rsidRPr="003B18BF" w:rsidRDefault="002C2D5C" w:rsidP="002C2D5C">
      <w:pPr>
        <w:pStyle w:val="BodyText"/>
        <w:jc w:val="both"/>
      </w:pPr>
    </w:p>
    <w:p w14:paraId="37E798C5" w14:textId="77777777" w:rsidR="002C2D5C" w:rsidRDefault="002C2D5C" w:rsidP="002C2D5C">
      <w:pPr>
        <w:jc w:val="both"/>
      </w:pPr>
    </w:p>
    <w:p w14:paraId="4ADC8738" w14:textId="77777777" w:rsidR="002C2D5C" w:rsidRDefault="002C2D5C" w:rsidP="002C2D5C">
      <w:pPr>
        <w:pStyle w:val="BodyText"/>
        <w:jc w:val="both"/>
      </w:pPr>
    </w:p>
    <w:p w14:paraId="093C5E64" w14:textId="77777777" w:rsidR="002C2D5C" w:rsidRDefault="002C2D5C" w:rsidP="002C2D5C">
      <w:pPr>
        <w:jc w:val="both"/>
      </w:pPr>
    </w:p>
    <w:p w14:paraId="6BFDDD25" w14:textId="77777777" w:rsidR="002C2D5C" w:rsidRPr="005137B7" w:rsidRDefault="002C2D5C" w:rsidP="002C2D5C">
      <w:pPr>
        <w:jc w:val="both"/>
      </w:pPr>
    </w:p>
    <w:p w14:paraId="007B7A0D" w14:textId="77777777" w:rsidR="00493CF1" w:rsidRPr="002C2D5C" w:rsidRDefault="00493CF1" w:rsidP="002C2D5C"/>
    <w:sectPr w:rsidR="00493CF1" w:rsidRPr="002C2D5C" w:rsidSect="007B1029">
      <w:headerReference w:type="default" r:id="rId32"/>
      <w:pgSz w:w="11906" w:h="16838"/>
      <w:pgMar w:top="1134" w:right="1440" w:bottom="851" w:left="1440" w:header="426"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B31DE" w14:textId="77777777" w:rsidR="008B3943" w:rsidRDefault="008B3943" w:rsidP="00253171">
      <w:pPr>
        <w:spacing w:line="240" w:lineRule="auto"/>
      </w:pPr>
      <w:r>
        <w:separator/>
      </w:r>
    </w:p>
  </w:endnote>
  <w:endnote w:type="continuationSeparator" w:id="0">
    <w:p w14:paraId="49FB328C" w14:textId="77777777" w:rsidR="008B3943" w:rsidRDefault="008B3943"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029CD" w14:textId="77777777" w:rsidR="008B3943" w:rsidRDefault="008B3943" w:rsidP="00C378B2"/>
  <w:tbl>
    <w:tblPr>
      <w:tblStyle w:val="Plaingrid"/>
      <w:tblW w:w="4819" w:type="pct"/>
      <w:tblLook w:val="04A0" w:firstRow="1" w:lastRow="0" w:firstColumn="1" w:lastColumn="0" w:noHBand="0" w:noVBand="1"/>
    </w:tblPr>
    <w:tblGrid>
      <w:gridCol w:w="5191"/>
      <w:gridCol w:w="3508"/>
    </w:tblGrid>
    <w:tr w:rsidR="008B3943" w:rsidRPr="00B965F1" w14:paraId="2D8A725F" w14:textId="77777777" w:rsidTr="008F6D54">
      <w:tc>
        <w:tcPr>
          <w:tcW w:w="5670" w:type="dxa"/>
        </w:tcPr>
        <w:p w14:paraId="44E0870C" w14:textId="77777777" w:rsidR="008B3943" w:rsidRPr="00166D71" w:rsidRDefault="00D72010" w:rsidP="00C378B2">
          <w:pPr>
            <w:pStyle w:val="Footer"/>
          </w:pPr>
          <w:r>
            <w:fldChar w:fldCharType="begin"/>
          </w:r>
          <w:r>
            <w:instrText xml:space="preserve"> DOCPROPERTY  PreparedFor \* MERGEFORMAT </w:instrText>
          </w:r>
          <w:r>
            <w:fldChar w:fldCharType="separate"/>
          </w:r>
          <w:r w:rsidR="008B3943">
            <w:t xml:space="preserve"> </w:t>
          </w:r>
          <w:r>
            <w:fldChar w:fldCharType="end"/>
          </w:r>
          <w:r w:rsidR="008B3943">
            <w:t xml:space="preserve"> </w:t>
          </w:r>
          <w:r w:rsidR="008B3943">
            <w:fldChar w:fldCharType="begin"/>
          </w:r>
          <w:r w:rsidR="008B3943">
            <w:instrText xml:space="preserve"> DOCPROPERTY  ClientName \* MERGEFORMAT </w:instrText>
          </w:r>
          <w:r w:rsidR="008B3943">
            <w:fldChar w:fldCharType="end"/>
          </w:r>
          <w:r w:rsidR="008B3943" w:rsidRPr="00166D71">
            <w:t xml:space="preserve">  </w:t>
          </w:r>
          <w:r>
            <w:fldChar w:fldCharType="begin"/>
          </w:r>
          <w:r>
            <w:instrText xml:space="preserve"> DOCPROPERTY  ClientNumber \* MERGEFORMAT </w:instrText>
          </w:r>
          <w:r>
            <w:fldChar w:fldCharType="separate"/>
          </w:r>
          <w:r w:rsidR="008B3943">
            <w:t xml:space="preserve"> </w:t>
          </w:r>
          <w:r>
            <w:fldChar w:fldCharType="end"/>
          </w:r>
        </w:p>
        <w:p w14:paraId="74A9AE93" w14:textId="6E38FBCF" w:rsidR="008B3943" w:rsidRDefault="008B3943" w:rsidP="00C378B2">
          <w:pPr>
            <w:pStyle w:val="Footer"/>
          </w:pPr>
          <w:r>
            <w:fldChar w:fldCharType="begin"/>
          </w:r>
          <w:r>
            <w:instrText xml:space="preserve"> if </w:instrText>
          </w:r>
          <w:r w:rsidR="00D72010">
            <w:fldChar w:fldCharType="begin"/>
          </w:r>
          <w:r w:rsidR="00D72010">
            <w:instrText xml:space="preserve"> DOCPROPERTY  ShowFilePath \* MERGEFORMAT </w:instrText>
          </w:r>
          <w:r w:rsidR="00D72010">
            <w:fldChar w:fldCharType="separate"/>
          </w:r>
          <w:r>
            <w:instrText>0</w:instrText>
          </w:r>
          <w:r w:rsidR="00D72010">
            <w:fldChar w:fldCharType="end"/>
          </w:r>
          <w:r>
            <w:instrText xml:space="preserve">  = 1  </w:instrText>
          </w:r>
          <w:r w:rsidR="00D72010">
            <w:fldChar w:fldCharType="begin"/>
          </w:r>
          <w:r w:rsidR="00D72010">
            <w:instrText xml:space="preserve"> FILENAME \p   \* MERGEFORMAT </w:instrText>
          </w:r>
          <w:r w:rsidR="00D72010">
            <w:fldChar w:fldCharType="separate"/>
          </w:r>
          <w:r>
            <w:instrText>Document2</w:instrText>
          </w:r>
          <w:r w:rsidR="00D72010">
            <w:fldChar w:fldCharType="end"/>
          </w:r>
          <w:r>
            <w:instrText xml:space="preserve">  </w:instrText>
          </w:r>
          <w:r>
            <w:fldChar w:fldCharType="end"/>
          </w:r>
          <w:r>
            <w:fldChar w:fldCharType="begin"/>
          </w:r>
          <w:r>
            <w:instrText xml:space="preserve"> if </w:instrText>
          </w:r>
          <w:r w:rsidR="00D72010">
            <w:fldChar w:fldCharType="begin"/>
          </w:r>
          <w:r w:rsidR="00D72010">
            <w:instrText xml:space="preserve"> DOCPROPERTY  ShowFileName \* MERGEFORMAT </w:instrText>
          </w:r>
          <w:r w:rsidR="00D72010">
            <w:fldChar w:fldCharType="separate"/>
          </w:r>
          <w:r>
            <w:instrText>0</w:instrText>
          </w:r>
          <w:r w:rsidR="00D72010">
            <w:fldChar w:fldCharType="end"/>
          </w:r>
          <w:r>
            <w:instrText xml:space="preserve">  = 1  </w:instrText>
          </w:r>
          <w:r w:rsidR="00D72010">
            <w:fldChar w:fldCharType="begin"/>
          </w:r>
          <w:r w:rsidR="00D72010">
            <w:instrText xml:space="preserve"> FILENAME   \* MERGEFORMAT </w:instrText>
          </w:r>
          <w:r w:rsidR="00D72010">
            <w:fldChar w:fldCharType="separate"/>
          </w:r>
          <w:r>
            <w:instrText>C:\Data\Word97\Template\Aecom\Aecom_Letter.Dotm</w:instrText>
          </w:r>
          <w:r w:rsidR="00D72010">
            <w:fldChar w:fldCharType="end"/>
          </w:r>
          <w:r>
            <w:instrText xml:space="preserve">  </w:instrText>
          </w:r>
          <w:r>
            <w:fldChar w:fldCharType="end"/>
          </w:r>
        </w:p>
      </w:tc>
      <w:tc>
        <w:tcPr>
          <w:tcW w:w="3828" w:type="dxa"/>
          <w:vAlign w:val="bottom"/>
        </w:tcPr>
        <w:p w14:paraId="2C9B27BA" w14:textId="60D08899" w:rsidR="008B3943" w:rsidRPr="00B965F1" w:rsidRDefault="008B3943" w:rsidP="00C378B2">
          <w:pPr>
            <w:pStyle w:val="Footer"/>
          </w:pPr>
          <w:r>
            <w:t xml:space="preserve">   </w:t>
          </w:r>
          <w:r w:rsidRPr="00B965F1">
            <w:fldChar w:fldCharType="begin"/>
          </w:r>
          <w:r w:rsidRPr="00B965F1">
            <w:instrText xml:space="preserve"> if </w:instrText>
          </w:r>
          <w:r w:rsidRPr="00B965F1">
            <w:fldChar w:fldCharType="begin"/>
          </w:r>
          <w:r w:rsidRPr="00B965F1">
            <w:instrText xml:space="preserve"> DOCPROPERTY  AdditionalCompanyName </w:instrText>
          </w:r>
          <w:r w:rsidRPr="00B965F1">
            <w:fldChar w:fldCharType="end"/>
          </w:r>
          <w:r w:rsidRPr="00B965F1">
            <w:instrText xml:space="preserve">  = "" "" "  |  "</w:instrText>
          </w:r>
          <w:r w:rsidRPr="00B965F1">
            <w:fldChar w:fldCharType="end"/>
          </w:r>
          <w:r w:rsidRPr="00B965F1">
            <w:fldChar w:fldCharType="begin"/>
          </w:r>
          <w:r w:rsidRPr="00B965F1">
            <w:instrText xml:space="preserve"> DOCPROPERTY  AdditionalCompanyName \* MERGEFORMAT </w:instrText>
          </w:r>
          <w:r w:rsidRPr="00B965F1">
            <w:fldChar w:fldCharType="end"/>
          </w:r>
        </w:p>
        <w:p w14:paraId="574FDAD1" w14:textId="77777777" w:rsidR="008B3943" w:rsidRPr="00B965F1" w:rsidRDefault="008B3943" w:rsidP="00C378B2">
          <w:pPr>
            <w:pStyle w:val="Footer"/>
          </w:pPr>
        </w:p>
      </w:tc>
    </w:tr>
  </w:tbl>
  <w:p w14:paraId="33527650" w14:textId="77777777" w:rsidR="008B3943" w:rsidRDefault="008B3943" w:rsidP="00C37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4D15A" w14:textId="77777777" w:rsidR="008B3943" w:rsidRPr="00253171" w:rsidRDefault="008B3943"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14:paraId="30CF298D" w14:textId="77777777" w:rsidR="008B3943" w:rsidRPr="00253171" w:rsidRDefault="008B3943"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id="1">
    <w:p w14:paraId="2D659640" w14:textId="1F58A42E" w:rsidR="008B3943" w:rsidRDefault="008B3943">
      <w:pPr>
        <w:pStyle w:val="FootnoteText"/>
      </w:pPr>
      <w:r>
        <w:rPr>
          <w:rStyle w:val="FootnoteReference"/>
        </w:rPr>
        <w:footnoteRef/>
      </w:r>
      <w:r>
        <w:t xml:space="preserve"> Weymouth includes Littlemoor; areas outside Weymouth but contiguous are included in Chickerell Ward.</w:t>
      </w:r>
    </w:p>
  </w:footnote>
  <w:footnote w:id="2">
    <w:p w14:paraId="2D0D1FC5" w14:textId="29B539B2" w:rsidR="008B3943" w:rsidRDefault="008B3943">
      <w:pPr>
        <w:pStyle w:val="FootnoteText"/>
      </w:pPr>
      <w:r>
        <w:rPr>
          <w:rStyle w:val="FootnoteReference"/>
        </w:rPr>
        <w:footnoteRef/>
      </w:r>
      <w:r>
        <w:t xml:space="preserve"> Available at </w:t>
      </w:r>
      <w:hyperlink r:id="rId1" w:history="1">
        <w:r w:rsidRPr="00044EC8">
          <w:rPr>
            <w:rStyle w:val="Hyperlink"/>
          </w:rPr>
          <w:t>https://www.gov.uk/government/statistics/english-indices-of-deprivation-2019</w:t>
        </w:r>
      </w:hyperlink>
      <w:r>
        <w:t xml:space="preserve"> and in a summary for Dorset Council available at </w:t>
      </w:r>
      <w:hyperlink r:id="rId2" w:history="1">
        <w:r w:rsidRPr="00044EC8">
          <w:rPr>
            <w:rStyle w:val="Hyperlink"/>
          </w:rPr>
          <w:t>https://apps.geowessex.com/insights/Reports/Topic/Deprivation</w:t>
        </w:r>
      </w:hyperlink>
      <w:r>
        <w:t xml:space="preserve"> </w:t>
      </w:r>
    </w:p>
  </w:footnote>
  <w:footnote w:id="3">
    <w:p w14:paraId="44808FE1" w14:textId="62ECB90F" w:rsidR="008B3943" w:rsidRDefault="008B3943">
      <w:pPr>
        <w:pStyle w:val="FootnoteText"/>
      </w:pPr>
      <w:r>
        <w:rPr>
          <w:rStyle w:val="FootnoteReference"/>
        </w:rPr>
        <w:footnoteRef/>
      </w:r>
      <w:r>
        <w:t xml:space="preserve"> Available at </w:t>
      </w:r>
      <w:hyperlink r:id="rId3" w:history="1">
        <w:r w:rsidRPr="00D05BAB">
          <w:rPr>
            <w:rStyle w:val="Hyperlink"/>
          </w:rPr>
          <w:t>https://www.dorsetcouncil.gov.uk/planning-buildings-land/planning-policy/west-dorset-and-weymouth-portland/neighbourhood-planning/pdfs/neighbourhood-plan/weymouth/weymouth-neighbourhood-area.pdf</w:t>
        </w:r>
      </w:hyperlink>
      <w:r>
        <w:t xml:space="preserve"> </w:t>
      </w:r>
    </w:p>
  </w:footnote>
  <w:footnote w:id="4">
    <w:p w14:paraId="0A4B3AAE" w14:textId="5D220436" w:rsidR="008B3943" w:rsidRDefault="008B3943">
      <w:pPr>
        <w:pStyle w:val="FootnoteText"/>
      </w:pPr>
      <w:r>
        <w:rPr>
          <w:rStyle w:val="FootnoteReference"/>
        </w:rPr>
        <w:footnoteRef/>
      </w:r>
      <w:r>
        <w:t xml:space="preserve"> Available at </w:t>
      </w:r>
      <w:hyperlink r:id="rId4" w:anchor="basic-conditions-for-neighbourhood-plan-to-referendum" w:history="1">
        <w:r w:rsidRPr="0010158B">
          <w:rPr>
            <w:rStyle w:val="Hyperlink"/>
          </w:rPr>
          <w:t>https://www.gov.uk/guidance/neighbourhood-planning--2#basic-conditions-for-neighbourhood-plan-to-referendum</w:t>
        </w:r>
      </w:hyperlink>
      <w:r>
        <w:t xml:space="preserve"> </w:t>
      </w:r>
    </w:p>
  </w:footnote>
  <w:footnote w:id="5">
    <w:p w14:paraId="0E175A7D" w14:textId="77B5EA5E" w:rsidR="008B3943" w:rsidRDefault="008B3943">
      <w:pPr>
        <w:pStyle w:val="FootnoteText"/>
      </w:pPr>
      <w:r>
        <w:rPr>
          <w:rStyle w:val="FootnoteReference"/>
        </w:rPr>
        <w:footnoteRef/>
      </w:r>
      <w:r>
        <w:t xml:space="preserve"> However, this does not affect the potential for the </w:t>
      </w:r>
      <w:r w:rsidRPr="00CD1EBD">
        <w:t>evidence base underpinn</w:t>
      </w:r>
      <w:r>
        <w:t xml:space="preserve">ing the emerging local plan to inform or </w:t>
      </w:r>
      <w:r w:rsidRPr="00CD1EBD">
        <w:t>form part of the evidence base for the neighbourhood plan</w:t>
      </w:r>
      <w:r>
        <w:t>.</w:t>
      </w:r>
    </w:p>
  </w:footnote>
  <w:footnote w:id="6">
    <w:p w14:paraId="0905CE36" w14:textId="1C636170" w:rsidR="008B3943" w:rsidRDefault="008B3943">
      <w:pPr>
        <w:pStyle w:val="FootnoteText"/>
      </w:pPr>
      <w:r>
        <w:rPr>
          <w:rStyle w:val="FootnoteReference"/>
        </w:rPr>
        <w:footnoteRef/>
      </w:r>
      <w:r>
        <w:t xml:space="preserve"> Available at </w:t>
      </w:r>
      <w:hyperlink r:id="rId5" w:history="1">
        <w:r w:rsidRPr="00044EC8">
          <w:rPr>
            <w:rStyle w:val="Hyperlink"/>
          </w:rPr>
          <w:t>https://www.dorsetcouncil.gov.uk/planning-buildings-land/planning-policy/dorset-council-local-plan.aspx</w:t>
        </w:r>
      </w:hyperlink>
      <w:r>
        <w:t xml:space="preserve"> </w:t>
      </w:r>
    </w:p>
  </w:footnote>
  <w:footnote w:id="7">
    <w:p w14:paraId="32D81A91" w14:textId="1462C0C8" w:rsidR="008B3943" w:rsidRDefault="008B3943">
      <w:pPr>
        <w:pStyle w:val="FootnoteText"/>
      </w:pPr>
      <w:r>
        <w:rPr>
          <w:rStyle w:val="FootnoteReference"/>
        </w:rPr>
        <w:footnoteRef/>
      </w:r>
      <w:r>
        <w:t xml:space="preserve"> Available at </w:t>
      </w:r>
      <w:hyperlink r:id="rId6" w:history="1">
        <w:r w:rsidRPr="00044EC8">
          <w:rPr>
            <w:rStyle w:val="Hyperlink"/>
          </w:rPr>
          <w:t>https://www.dorsetcouncil.gov.uk/planning-buildings-land/planning-policy/dorset-council-local-plan.aspx</w:t>
        </w:r>
      </w:hyperlink>
      <w:r>
        <w:t xml:space="preserve"> </w:t>
      </w:r>
    </w:p>
  </w:footnote>
  <w:footnote w:id="8">
    <w:p w14:paraId="17544CDF" w14:textId="66989990" w:rsidR="008B3943" w:rsidRDefault="008B3943">
      <w:pPr>
        <w:pStyle w:val="FootnoteText"/>
      </w:pPr>
      <w:r>
        <w:rPr>
          <w:rStyle w:val="FootnoteReference"/>
        </w:rPr>
        <w:footnoteRef/>
      </w:r>
      <w:r>
        <w:t xml:space="preserve"> Note that only those policies considered relevant to this Housing Needs Assessment have been reviewed, and that the policies reviewed may have been edited for relevance and/or clarity. As such, this summary of relevant policies should not be considered a full summary of the Local Plan in question.</w:t>
      </w:r>
    </w:p>
  </w:footnote>
  <w:footnote w:id="9">
    <w:p w14:paraId="375AAA37" w14:textId="1F59662B" w:rsidR="008B3943" w:rsidRDefault="008B3943">
      <w:pPr>
        <w:pStyle w:val="FootnoteText"/>
      </w:pPr>
      <w:r>
        <w:rPr>
          <w:rStyle w:val="FootnoteReference"/>
        </w:rPr>
        <w:footnoteRef/>
      </w:r>
      <w:r>
        <w:t xml:space="preserve"> Available at </w:t>
      </w:r>
      <w:hyperlink r:id="rId7" w:history="1">
        <w:r w:rsidRPr="00044EC8">
          <w:rPr>
            <w:rStyle w:val="Hyperlink"/>
          </w:rPr>
          <w:t>https://www.dorsetcouncil.gov.uk/planning-buildings-land/planning-policy/dorset-council-planning-policy/neighbourhood-plans-in-dorset/chickerell-neighbourhood-plan.aspx</w:t>
        </w:r>
      </w:hyperlink>
      <w:r>
        <w:t xml:space="preserve"> </w:t>
      </w:r>
    </w:p>
  </w:footnote>
  <w:footnote w:id="10">
    <w:p w14:paraId="0091208C" w14:textId="5BF2DC8E" w:rsidR="008B3943" w:rsidRDefault="008B3943">
      <w:pPr>
        <w:pStyle w:val="FootnoteText"/>
      </w:pPr>
      <w:r>
        <w:rPr>
          <w:rStyle w:val="FootnoteReference"/>
        </w:rPr>
        <w:footnoteRef/>
      </w:r>
      <w:r>
        <w:t xml:space="preserve"> Note that only those policies considered relevant to this Housing Needs Assessment have been reviewed, and that the policies reviewed may have been edited for relevance and/or clarity. As such, this summary of relevant policies should not be considered a full summary of the Local Plan in question.</w:t>
      </w:r>
    </w:p>
  </w:footnote>
  <w:footnote w:id="11">
    <w:p w14:paraId="77CA62F3" w14:textId="797807A1" w:rsidR="008B3943" w:rsidRPr="00CD331C" w:rsidRDefault="008B3943">
      <w:pPr>
        <w:pStyle w:val="FootnoteText"/>
        <w:rPr>
          <w:szCs w:val="16"/>
        </w:rPr>
      </w:pPr>
      <w:r>
        <w:rPr>
          <w:rStyle w:val="FootnoteReference"/>
        </w:rPr>
        <w:footnoteRef/>
      </w:r>
      <w:r>
        <w:t xml:space="preserve"> </w:t>
      </w:r>
      <w:r w:rsidRPr="00CD331C">
        <w:rPr>
          <w:szCs w:val="16"/>
        </w:rPr>
        <w:t xml:space="preserve">As per the newly published Local Plan, January 2020, </w:t>
      </w:r>
      <w:r w:rsidRPr="00CD331C">
        <w:rPr>
          <w:rFonts w:asciiTheme="minorHAnsi" w:eastAsiaTheme="minorHAnsi" w:hAnsiTheme="minorHAnsi" w:cstheme="minorHAnsi"/>
          <w:color w:val="auto"/>
          <w:szCs w:val="16"/>
          <w:lang w:eastAsia="en-US"/>
        </w:rPr>
        <w:t xml:space="preserve">Appendix 2: Neighbourhood Plan Housing Requirement, </w:t>
      </w:r>
      <w:r w:rsidRPr="00CD331C">
        <w:rPr>
          <w:rFonts w:asciiTheme="minorHAnsi" w:hAnsiTheme="minorHAnsi" w:cstheme="minorHAnsi"/>
          <w:color w:val="auto"/>
          <w:szCs w:val="16"/>
        </w:rPr>
        <w:t>Table A2: Neighbourhood Plan Housing Requirement</w:t>
      </w:r>
      <w:r w:rsidRPr="00CD331C">
        <w:rPr>
          <w:szCs w:val="16"/>
        </w:rPr>
        <w:t>.</w:t>
      </w:r>
      <w:r>
        <w:rPr>
          <w:szCs w:val="16"/>
        </w:rPr>
        <w:t xml:space="preserve"> However, please note that the emerging Local Plan is currently still in draft and may be subject to change as it progresses.</w:t>
      </w:r>
    </w:p>
  </w:footnote>
  <w:footnote w:id="12">
    <w:p w14:paraId="3FADF58B" w14:textId="243BB1DC" w:rsidR="008B3943" w:rsidRPr="00A1317B" w:rsidRDefault="008B3943" w:rsidP="00A1317B">
      <w:r w:rsidRPr="00FB6784">
        <w:rPr>
          <w:vertAlign w:val="superscript"/>
        </w:rPr>
        <w:footnoteRef/>
      </w:r>
      <w:r w:rsidRPr="00FB6784">
        <w:rPr>
          <w:vertAlign w:val="superscript"/>
        </w:rPr>
        <w:t xml:space="preserve"> </w:t>
      </w:r>
      <w:r w:rsidRPr="00A1317B">
        <w:t xml:space="preserve">Available at: </w:t>
      </w:r>
      <w:hyperlink r:id="rId8" w:history="1">
        <w:r w:rsidRPr="007E174F">
          <w:rPr>
            <w:rStyle w:val="Hyperlink"/>
          </w:rPr>
          <w:t>https://www.gov.uk/government/consultations/changes-to-the-current-planning-system</w:t>
        </w:r>
      </w:hyperlink>
      <w:r>
        <w:t xml:space="preserve"> </w:t>
      </w:r>
    </w:p>
  </w:footnote>
  <w:footnote w:id="13">
    <w:p w14:paraId="6EB8E9F9" w14:textId="36BE27B1" w:rsidR="008B3943" w:rsidRDefault="008B3943">
      <w:pPr>
        <w:pStyle w:val="FootnoteText"/>
      </w:pPr>
      <w:r>
        <w:rPr>
          <w:rStyle w:val="FootnoteReference"/>
        </w:rPr>
        <w:footnoteRef/>
      </w:r>
      <w:r>
        <w:t xml:space="preserve"> Available at </w:t>
      </w:r>
      <w:hyperlink r:id="rId9" w:history="1">
        <w:r w:rsidRPr="00637566">
          <w:rPr>
            <w:rStyle w:val="Hyperlink"/>
          </w:rPr>
          <w:t>https://www.bridport-tc.gov.uk/wp-content/uploads/2019/04/SHMA-part-2-July-2014.pdf</w:t>
        </w:r>
      </w:hyperlink>
      <w:r>
        <w:t xml:space="preserve"> and </w:t>
      </w:r>
      <w:hyperlink r:id="rId10" w:history="1">
        <w:r w:rsidRPr="00637566">
          <w:rPr>
            <w:rStyle w:val="Hyperlink"/>
          </w:rPr>
          <w:t>https://www.bridport-tc.gov.uk/wp-content/uploads/2019/04/SHMA-part-1-July-2014.pdf</w:t>
        </w:r>
      </w:hyperlink>
      <w:r>
        <w:t xml:space="preserve"> </w:t>
      </w:r>
    </w:p>
  </w:footnote>
  <w:footnote w:id="14">
    <w:p w14:paraId="5ADAF8C6" w14:textId="6FDCDB97" w:rsidR="008B3943" w:rsidRDefault="008B3943">
      <w:pPr>
        <w:pStyle w:val="FootnoteText"/>
      </w:pPr>
      <w:r>
        <w:rPr>
          <w:rStyle w:val="FootnoteReference"/>
        </w:rPr>
        <w:footnoteRef/>
      </w:r>
      <w:r>
        <w:t xml:space="preserve"> Available at </w:t>
      </w:r>
      <w:hyperlink r:id="rId11" w:history="1">
        <w:r w:rsidRPr="00044EC8">
          <w:rPr>
            <w:rStyle w:val="Hyperlink"/>
          </w:rPr>
          <w:t>https://www.dorsetcouncil.gov.uk/planning-buildings-land/planning-policy/west-dorset-and-weymouth-portland/evidence-base/pdfs/housing/dorchester-weymouth-strategic-housing-market-assessment-shma-final-summary-report.pdf</w:t>
        </w:r>
      </w:hyperlink>
      <w:r>
        <w:t xml:space="preserve"> </w:t>
      </w:r>
    </w:p>
  </w:footnote>
  <w:footnote w:id="15">
    <w:p w14:paraId="0141F50D" w14:textId="756109C4" w:rsidR="008B3943" w:rsidRDefault="008B3943">
      <w:pPr>
        <w:pStyle w:val="FootnoteText"/>
      </w:pPr>
      <w:r>
        <w:rPr>
          <w:rStyle w:val="FootnoteReference"/>
        </w:rPr>
        <w:footnoteRef/>
      </w:r>
      <w:r>
        <w:t xml:space="preserve"> Available at </w:t>
      </w:r>
      <w:hyperlink r:id="rId12" w:history="1">
        <w:r w:rsidRPr="00044EC8">
          <w:rPr>
            <w:rStyle w:val="Hyperlink"/>
          </w:rPr>
          <w:t>https://www.dorsetcouncil.gov.uk/planning-buildings-land/planning-policy/west-dorset-and-weymouth-portland/evidence-base/pdfs/housing/dorchester-weymouth-strategic-housing-market-assessment-shma-final-summary-report.pdf</w:t>
        </w:r>
      </w:hyperlink>
      <w:r>
        <w:t xml:space="preserve"> </w:t>
      </w:r>
    </w:p>
  </w:footnote>
  <w:footnote w:id="16">
    <w:p w14:paraId="391992F9" w14:textId="7487B3B9" w:rsidR="008B3943" w:rsidRDefault="008B3943">
      <w:pPr>
        <w:pStyle w:val="FootnoteText"/>
      </w:pPr>
      <w:r>
        <w:rPr>
          <w:rStyle w:val="FootnoteReference"/>
        </w:rPr>
        <w:footnoteRef/>
      </w:r>
      <w:r>
        <w:t xml:space="preserve"> Available at </w:t>
      </w:r>
      <w:hyperlink r:id="rId13" w:history="1">
        <w:r w:rsidRPr="00044EC8">
          <w:rPr>
            <w:rStyle w:val="Hyperlink"/>
          </w:rPr>
          <w:t>https://www.dorsetcouncil.gov.uk/planning-buildings-land/planning-policy/west-dorset-and-weymouth-portland/evidence-base/pdfs/monitoring/20200313-five-year-supply-wddc-and-wpbc-final.pdf</w:t>
        </w:r>
      </w:hyperlink>
      <w:r>
        <w:t xml:space="preserve"> </w:t>
      </w:r>
    </w:p>
  </w:footnote>
  <w:footnote w:id="17">
    <w:p w14:paraId="682CA83C" w14:textId="633A92A4" w:rsidR="008B3943" w:rsidRDefault="008B3943" w:rsidP="002C2D5C">
      <w:pPr>
        <w:pStyle w:val="FootnoteText"/>
      </w:pPr>
      <w:r w:rsidRPr="001B4D89">
        <w:rPr>
          <w:rStyle w:val="FootnoteReference"/>
          <w:rFonts w:ascii="Arial" w:hAnsi="Arial"/>
        </w:rPr>
        <w:footnoteRef/>
      </w:r>
      <w:r w:rsidRPr="001B4D89">
        <w:t xml:space="preserve"> PPG </w:t>
      </w:r>
      <w:r w:rsidRPr="001B4D89">
        <w:rPr>
          <w:shd w:val="clear" w:color="auto" w:fill="FFFFFF"/>
        </w:rPr>
        <w:t>Paragraph: 021 Reference ID: 2a-021-20160401</w:t>
      </w:r>
      <w:r>
        <w:rPr>
          <w:shd w:val="clear" w:color="auto" w:fill="FFFFFF"/>
        </w:rPr>
        <w:t xml:space="preserve">, available at </w:t>
      </w:r>
      <w:hyperlink r:id="rId14" w:history="1">
        <w:r w:rsidRPr="00EC5123">
          <w:rPr>
            <w:rStyle w:val="Hyperlink"/>
            <w:shd w:val="clear" w:color="auto" w:fill="FFFFFF"/>
          </w:rPr>
          <w:t>https://www.gov.uk/guidance/housing-and-economic-development-needs-assessments</w:t>
        </w:r>
      </w:hyperlink>
      <w:r>
        <w:rPr>
          <w:shd w:val="clear" w:color="auto" w:fill="FFFFFF"/>
        </w:rPr>
        <w:t xml:space="preserve"> </w:t>
      </w:r>
    </w:p>
  </w:footnote>
  <w:footnote w:id="18">
    <w:p w14:paraId="143EEF1D" w14:textId="589F5157" w:rsidR="008B3943" w:rsidRDefault="008B3943" w:rsidP="002C2D5C">
      <w:pPr>
        <w:pStyle w:val="FootnoteText"/>
      </w:pPr>
      <w:r>
        <w:rPr>
          <w:rStyle w:val="FootnoteReference"/>
        </w:rPr>
        <w:footnoteRef/>
      </w:r>
      <w:r>
        <w:t xml:space="preserve"> NPPF 2019.</w:t>
      </w:r>
    </w:p>
  </w:footnote>
  <w:footnote w:id="19">
    <w:p w14:paraId="3CEEB558" w14:textId="103A8A70" w:rsidR="008B3943" w:rsidRDefault="008B3943">
      <w:pPr>
        <w:pStyle w:val="FootnoteText"/>
      </w:pPr>
      <w:r>
        <w:rPr>
          <w:rStyle w:val="FootnoteReference"/>
        </w:rPr>
        <w:footnoteRef/>
      </w:r>
      <w:r>
        <w:t xml:space="preserve"> The latest consultation proposals, published in August 2020, state that ‘</w:t>
      </w:r>
      <w:r w:rsidRPr="00712408">
        <w:t>The minimum discount for First Homes should be 30% from market price which will be set by an independent registered valuer</w:t>
      </w:r>
      <w:r>
        <w:t>’ and ‘</w:t>
      </w:r>
      <w:r w:rsidRPr="00712408">
        <w:t>Local authorities will have discretion to increase the discount to 40% or 50%. This would need to be evidenced in the local plan making process.</w:t>
      </w:r>
      <w:r>
        <w:t>’</w:t>
      </w:r>
    </w:p>
  </w:footnote>
  <w:footnote w:id="20">
    <w:p w14:paraId="74D1718F" w14:textId="3C4B1FF8"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21">
    <w:p w14:paraId="617DD037" w14:textId="2FF173FE"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22">
    <w:p w14:paraId="7C1B990B" w14:textId="77777777" w:rsidR="008B3943" w:rsidRDefault="008B3943" w:rsidP="00F06D67">
      <w:pPr>
        <w:pStyle w:val="FootnoteText"/>
      </w:pPr>
      <w:r>
        <w:rPr>
          <w:rStyle w:val="FootnoteReference"/>
        </w:rPr>
        <w:footnoteRef/>
      </w:r>
      <w:r>
        <w:t xml:space="preserve"> See </w:t>
      </w:r>
      <w:r w:rsidRPr="0042027F">
        <w:t>Paragraph: 021 Reference ID: 2a-021-20190220</w:t>
      </w:r>
      <w:r>
        <w:t xml:space="preserve">, available at </w:t>
      </w:r>
      <w:hyperlink r:id="rId15" w:history="1">
        <w:r w:rsidRPr="00EC5123">
          <w:rPr>
            <w:rStyle w:val="Hyperlink"/>
          </w:rPr>
          <w:t>https://www.gov.uk/guidance/housing-and-economic-development-needs-assessments</w:t>
        </w:r>
      </w:hyperlink>
      <w:r>
        <w:t xml:space="preserve"> </w:t>
      </w:r>
    </w:p>
  </w:footnote>
  <w:footnote w:id="23">
    <w:p w14:paraId="0B263FE9" w14:textId="77777777" w:rsidR="008B3943" w:rsidRDefault="008B3943" w:rsidP="00DF2BD9">
      <w:pPr>
        <w:pStyle w:val="FootnoteText"/>
      </w:pPr>
      <w:r>
        <w:rPr>
          <w:rStyle w:val="FootnoteReference"/>
        </w:rPr>
        <w:footnoteRef/>
      </w:r>
      <w:r>
        <w:t xml:space="preserve">Available at </w:t>
      </w:r>
      <w:hyperlink r:id="rId16" w:history="1">
        <w:r w:rsidRPr="001F0912">
          <w:rPr>
            <w:rStyle w:val="Hyperlink"/>
          </w:rPr>
          <w:t>https://www.ons.gov.uk/peoplepopulationandcommunity/personalandhouseholdfinances/incomeandwealth/bulletins/smallareamodelbasedincomeestimates/financialyearending2016</w:t>
        </w:r>
      </w:hyperlink>
      <w:r>
        <w:t xml:space="preserve"> </w:t>
      </w:r>
    </w:p>
  </w:footnote>
  <w:footnote w:id="24">
    <w:p w14:paraId="556E88B0" w14:textId="77777777" w:rsidR="008B3943" w:rsidRDefault="008B3943" w:rsidP="00DF2BD9">
      <w:pPr>
        <w:pStyle w:val="FootnoteText"/>
      </w:pPr>
      <w:r>
        <w:rPr>
          <w:rStyle w:val="FootnoteReference"/>
        </w:rPr>
        <w:footnoteRef/>
      </w:r>
      <w:r>
        <w:t xml:space="preserve"> An MSOA is a statistical area defined for Census purposes. For further information on MSOAs, see </w:t>
      </w:r>
      <w:hyperlink r:id="rId17" w:history="1">
        <w:r w:rsidRPr="001F0912">
          <w:rPr>
            <w:rStyle w:val="Hyperlink"/>
          </w:rPr>
          <w:t>https://www.ons.gov.uk/methodology/geography/ukgeographies/censusgeography</w:t>
        </w:r>
      </w:hyperlink>
      <w:r>
        <w:t xml:space="preserve"> </w:t>
      </w:r>
    </w:p>
  </w:footnote>
  <w:footnote w:id="25">
    <w:p w14:paraId="3FB53C0F" w14:textId="77777777" w:rsidR="008B3943" w:rsidRDefault="008B3943" w:rsidP="00DF2BD9">
      <w:pPr>
        <w:pStyle w:val="FootnoteText"/>
      </w:pPr>
      <w:r>
        <w:rPr>
          <w:rStyle w:val="FootnoteReference"/>
        </w:rPr>
        <w:footnoteRef/>
      </w:r>
      <w:r>
        <w:t xml:space="preserve"> </w:t>
      </w:r>
      <w:r w:rsidRPr="00623F24">
        <w:t>Total annual household income is the sum of the gross income of every member of the household plus any income from benefits such as Working Families Tax Credit.</w:t>
      </w:r>
    </w:p>
  </w:footnote>
  <w:footnote w:id="26">
    <w:p w14:paraId="67099F66" w14:textId="1865752F"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27">
    <w:p w14:paraId="5C6034EF" w14:textId="3C33A077"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28">
    <w:p w14:paraId="2FD9A324" w14:textId="77777777" w:rsidR="008B3943" w:rsidRDefault="008B3943" w:rsidP="00581337">
      <w:pPr>
        <w:pStyle w:val="FootnoteText"/>
      </w:pPr>
      <w:r>
        <w:rPr>
          <w:rStyle w:val="FootnoteReference"/>
        </w:rPr>
        <w:footnoteRef/>
      </w:r>
      <w:r>
        <w:t xml:space="preserve"> See the White Paper ‘Fixing Our Broken Housing Market’, at </w:t>
      </w:r>
      <w:hyperlink r:id="rId18" w:history="1">
        <w:r w:rsidRPr="00692F01">
          <w:rPr>
            <w:rStyle w:val="Hyperlink"/>
          </w:rPr>
          <w:t>https://assets.publishing.service.gov.uk/government/uploads/system/uploads/attachment_data/file/590464/Fixing_our_broken_housing_market_-_print_ready_version.pdf</w:t>
        </w:r>
      </w:hyperlink>
      <w:r>
        <w:t xml:space="preserve"> </w:t>
      </w:r>
    </w:p>
  </w:footnote>
  <w:footnote w:id="29">
    <w:p w14:paraId="7B6EC75F" w14:textId="066D0E19" w:rsidR="008B3943" w:rsidRDefault="008B3943">
      <w:pPr>
        <w:pStyle w:val="FootnoteText"/>
      </w:pPr>
      <w:r>
        <w:rPr>
          <w:rStyle w:val="FootnoteReference"/>
        </w:rPr>
        <w:footnoteRef/>
      </w:r>
      <w:r>
        <w:t xml:space="preserve"> This estimate is included for illustration purposes. £1,500 build cost per sq m is a reasonable estimate of current costs (mid 2020); 70 sq m for a 2 bedroom property is consistent with the Government’s Nationally Described Space Standards</w:t>
      </w:r>
    </w:p>
  </w:footnote>
  <w:footnote w:id="30">
    <w:p w14:paraId="4E19FF45" w14:textId="77777777" w:rsidR="008B3943" w:rsidRDefault="008B3943" w:rsidP="005B4FAE">
      <w:pPr>
        <w:pStyle w:val="FootnoteText"/>
      </w:pPr>
      <w:r>
        <w:rPr>
          <w:rStyle w:val="FootnoteReference"/>
        </w:rPr>
        <w:footnoteRef/>
      </w:r>
      <w:r>
        <w:t xml:space="preserve"> </w:t>
      </w:r>
      <w:r w:rsidRPr="00121C7F">
        <w:t>Available at: https://www.gov.uk/government/consultations/changes-to-the-current-planning-system.</w:t>
      </w:r>
    </w:p>
  </w:footnote>
  <w:footnote w:id="31">
    <w:p w14:paraId="4FC5EF6F" w14:textId="77777777" w:rsidR="008B3943" w:rsidRDefault="008B3943" w:rsidP="00BE12BE">
      <w:pPr>
        <w:pStyle w:val="FootnoteText"/>
      </w:pPr>
      <w:r>
        <w:rPr>
          <w:rStyle w:val="FootnoteReference"/>
        </w:rPr>
        <w:footnoteRef/>
      </w:r>
      <w:r>
        <w:t xml:space="preserve"> Communicated by Dorset Council via email on 22 January 2021.</w:t>
      </w:r>
    </w:p>
  </w:footnote>
  <w:footnote w:id="32">
    <w:p w14:paraId="7CF6BFEE" w14:textId="5B8CE86E" w:rsidR="008B3943" w:rsidRDefault="008B3943">
      <w:pPr>
        <w:pStyle w:val="FootnoteText"/>
      </w:pPr>
      <w:r>
        <w:rPr>
          <w:rStyle w:val="FootnoteReference"/>
        </w:rPr>
        <w:footnoteRef/>
      </w:r>
      <w:r>
        <w:t xml:space="preserve">The original proposals are available at: </w:t>
      </w:r>
      <w:hyperlink r:id="rId19" w:history="1">
        <w:r w:rsidRPr="000842AA">
          <w:rPr>
            <w:rStyle w:val="Hyperlink"/>
          </w:rPr>
          <w:t>https://assets.publishing.service.gov.uk/government/uploads/system/uploads/attachment_data/file/864265/First_Homes_consultation_document.pdf</w:t>
        </w:r>
      </w:hyperlink>
      <w:r>
        <w:t xml:space="preserve">. The latest proposals are available at: </w:t>
      </w:r>
      <w:hyperlink r:id="rId20" w:history="1">
        <w:r w:rsidRPr="000842AA">
          <w:rPr>
            <w:rStyle w:val="Hyperlink"/>
          </w:rPr>
          <w:t>https://www.gov.uk/government/consultations/changes-to-the-current-planning-system</w:t>
        </w:r>
      </w:hyperlink>
      <w:r>
        <w:t>. Note that the latest proposals are not final, and could potentially be subject to further change.</w:t>
      </w:r>
    </w:p>
  </w:footnote>
  <w:footnote w:id="33">
    <w:p w14:paraId="183D681C" w14:textId="5FDDE4E3" w:rsidR="008B3943" w:rsidRDefault="008B3943">
      <w:pPr>
        <w:pStyle w:val="FootnoteText"/>
      </w:pPr>
    </w:p>
  </w:footnote>
  <w:footnote w:id="34">
    <w:p w14:paraId="2DCCD32B" w14:textId="77777777" w:rsidR="008B3943" w:rsidRDefault="008B3943" w:rsidP="00EF1FA9">
      <w:pPr>
        <w:pStyle w:val="FootnoteText"/>
      </w:pPr>
      <w:r>
        <w:rPr>
          <w:rStyle w:val="FootnoteReference"/>
        </w:rPr>
        <w:footnoteRef/>
      </w:r>
      <w:r>
        <w:t xml:space="preserve"> </w:t>
      </w:r>
      <w:r w:rsidRPr="007B2B35">
        <w:t>https://www.gov.uk/government/news/jenrick-unveils-huge-12-billion-boost-for-affordable-homes</w:t>
      </w:r>
    </w:p>
  </w:footnote>
  <w:footnote w:id="35">
    <w:p w14:paraId="7165D1A1" w14:textId="79779EF8" w:rsidR="008B3943" w:rsidRDefault="008B3943">
      <w:pPr>
        <w:pStyle w:val="FootnoteText"/>
      </w:pPr>
      <w:r>
        <w:rPr>
          <w:rStyle w:val="FootnoteReference"/>
        </w:rPr>
        <w:footnoteRef/>
      </w:r>
      <w:r>
        <w:t xml:space="preserve"> See West Dorset, Weymouth and Portland Annual Monitoring Reports, available at </w:t>
      </w:r>
      <w:hyperlink r:id="rId21" w:history="1">
        <w:r w:rsidRPr="0051038D">
          <w:rPr>
            <w:rStyle w:val="Hyperlink"/>
          </w:rPr>
          <w:t>https://www.dorsetcouncil.gov.uk/planning-buildings-land/planning-policy/west-dorset-and-weymouth-portland/evidence-base/monitoring-west-dorset-weymouth-portland.aspx</w:t>
        </w:r>
      </w:hyperlink>
      <w:r>
        <w:t xml:space="preserve"> </w:t>
      </w:r>
    </w:p>
  </w:footnote>
  <w:footnote w:id="36">
    <w:p w14:paraId="7B0A41C7" w14:textId="2F044AAC" w:rsidR="008B3943" w:rsidRPr="000E4CE6" w:rsidRDefault="008B3943" w:rsidP="008411EA">
      <w:pPr>
        <w:pStyle w:val="FootnoteText"/>
        <w:jc w:val="both"/>
        <w:rPr>
          <w:rFonts w:cstheme="minorHAnsi"/>
        </w:rPr>
      </w:pPr>
      <w:r w:rsidRPr="000E4CE6">
        <w:rPr>
          <w:rStyle w:val="FootnoteReference"/>
          <w:rFonts w:asciiTheme="minorHAnsi" w:hAnsiTheme="minorHAnsi" w:cstheme="minorHAnsi"/>
        </w:rPr>
        <w:footnoteRef/>
      </w:r>
      <w:r w:rsidRPr="000E4CE6">
        <w:rPr>
          <w:rFonts w:cstheme="minorHAnsi"/>
        </w:rPr>
        <w:t xml:space="preserve"> </w:t>
      </w:r>
      <w:r>
        <w:rPr>
          <w:rFonts w:cstheme="minorHAnsi"/>
        </w:rPr>
        <w:t xml:space="preserve">At </w:t>
      </w:r>
      <w:hyperlink r:id="rId22" w:history="1">
        <w:r w:rsidRPr="00EC5123">
          <w:rPr>
            <w:rStyle w:val="Hyperlink"/>
            <w:rFonts w:cstheme="minorHAnsi"/>
          </w:rPr>
          <w:t>https://www.nomisweb.co.uk/census/2011/qs407ew</w:t>
        </w:r>
      </w:hyperlink>
      <w:r>
        <w:rPr>
          <w:rFonts w:cstheme="minorHAnsi"/>
        </w:rPr>
        <w:t xml:space="preserve"> </w:t>
      </w:r>
    </w:p>
  </w:footnote>
  <w:footnote w:id="37">
    <w:p w14:paraId="3243DF56" w14:textId="52B16673" w:rsidR="008B3943" w:rsidRPr="00A96F7B" w:rsidRDefault="008B3943" w:rsidP="008411EA">
      <w:pPr>
        <w:pStyle w:val="FootnoteText"/>
      </w:pPr>
      <w:r>
        <w:rPr>
          <w:rStyle w:val="FootnoteReference"/>
        </w:rPr>
        <w:footnoteRef/>
      </w:r>
      <w:r w:rsidRPr="00A96F7B">
        <w:t xml:space="preserve"> </w:t>
      </w:r>
      <w:r>
        <w:t xml:space="preserve">At </w:t>
      </w:r>
      <w:hyperlink r:id="rId23" w:history="1">
        <w:r w:rsidRPr="00A96F7B">
          <w:rPr>
            <w:rStyle w:val="Hyperlink"/>
          </w:rPr>
          <w:t>https://www.gov.uk/guidance/dwelling-stock-data-notes-and-definitions-includes-hfr-full-guidance-notes-and-returns-form</w:t>
        </w:r>
      </w:hyperlink>
      <w:r w:rsidRPr="00A96F7B">
        <w:t xml:space="preserve"> </w:t>
      </w:r>
    </w:p>
  </w:footnote>
  <w:footnote w:id="38">
    <w:p w14:paraId="70DBAE05" w14:textId="77777777" w:rsidR="008B3943" w:rsidRPr="00A96F7B" w:rsidRDefault="008B3943" w:rsidP="008411EA">
      <w:pPr>
        <w:pStyle w:val="FootnoteText"/>
      </w:pPr>
      <w:r>
        <w:rPr>
          <w:rStyle w:val="FootnoteReference"/>
        </w:rPr>
        <w:footnoteRef/>
      </w:r>
      <w:r w:rsidRPr="00A96F7B">
        <w:t xml:space="preserve"> Ibid.</w:t>
      </w:r>
    </w:p>
  </w:footnote>
  <w:footnote w:id="39">
    <w:p w14:paraId="78D96CDA" w14:textId="09E13EC8" w:rsidR="008B3943" w:rsidRDefault="008B3943">
      <w:pPr>
        <w:pStyle w:val="FootnoteText"/>
      </w:pPr>
      <w:r>
        <w:rPr>
          <w:rStyle w:val="FootnoteReference"/>
        </w:rPr>
        <w:footnoteRef/>
      </w:r>
      <w:r>
        <w:t xml:space="preserve"> Please note that these numbers do not add up exactly, which is not an error. This is a very common issue, resulting from discrepancies common in the Census data, as well as due to the existence of second / holiday homes etc.</w:t>
      </w:r>
    </w:p>
  </w:footnote>
  <w:footnote w:id="40">
    <w:p w14:paraId="150C983B" w14:textId="217CC5A0"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41">
    <w:p w14:paraId="4AE2CE7D" w14:textId="11667580"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42">
    <w:p w14:paraId="02D9971D" w14:textId="37596CE1"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43">
    <w:p w14:paraId="1BA27F47" w14:textId="2B8E38BD" w:rsidR="008B3943" w:rsidRDefault="008B3943">
      <w:pPr>
        <w:pStyle w:val="FootnoteText"/>
      </w:pPr>
      <w:r>
        <w:rPr>
          <w:rStyle w:val="FootnoteReference"/>
        </w:rPr>
        <w:footnoteRef/>
      </w:r>
      <w:r>
        <w:t xml:space="preserve"> Available at </w:t>
      </w:r>
      <w:hyperlink r:id="rId24" w:history="1">
        <w:r w:rsidRPr="0051038D">
          <w:rPr>
            <w:rStyle w:val="Hyperlink"/>
          </w:rPr>
          <w:t>https://www.dorsetcouncil.gov.uk/planning-buildings-land/planning-policy/west-dorset-and-weymouth-portland/evidence-base/monitoring-west-dorset-weymouth-portland.aspx</w:t>
        </w:r>
      </w:hyperlink>
      <w:r>
        <w:t xml:space="preserve"> </w:t>
      </w:r>
    </w:p>
  </w:footnote>
  <w:footnote w:id="44">
    <w:p w14:paraId="093ED419" w14:textId="2C00E72F"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45">
    <w:p w14:paraId="5A7F9ABB" w14:textId="4C17B8A7"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46">
    <w:p w14:paraId="78552744" w14:textId="57B4DB97"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47">
    <w:p w14:paraId="60F2E76D" w14:textId="0870D096" w:rsidR="008B3943" w:rsidRDefault="008B3943">
      <w:pPr>
        <w:pStyle w:val="FootnoteText"/>
      </w:pPr>
      <w:r>
        <w:rPr>
          <w:rStyle w:val="FootnoteReference"/>
        </w:rPr>
        <w:footnoteRef/>
      </w:r>
      <w:r>
        <w:t xml:space="preserve"> </w:t>
      </w:r>
      <w:r w:rsidRPr="00817582">
        <w:t>Refers to households containing children who are older than 18 e.g</w:t>
      </w:r>
      <w:r>
        <w:t>.</w:t>
      </w:r>
      <w:r w:rsidRPr="00817582">
        <w:t xml:space="preserve"> students or young working people living at home</w:t>
      </w:r>
      <w:r>
        <w:t>.</w:t>
      </w:r>
    </w:p>
  </w:footnote>
  <w:footnote w:id="48">
    <w:p w14:paraId="4A54A1B8" w14:textId="6984A2D6" w:rsidR="008B3943" w:rsidRDefault="008B3943">
      <w:pPr>
        <w:pStyle w:val="FootnoteText"/>
      </w:pPr>
      <w:r>
        <w:rPr>
          <w:rStyle w:val="FootnoteReference"/>
        </w:rPr>
        <w:footnoteRef/>
      </w:r>
      <w:r>
        <w:t xml:space="preserve"> Data only available at former Dorset County level rather than at Dorset Local Authority level.</w:t>
      </w:r>
    </w:p>
  </w:footnote>
  <w:footnote w:id="49">
    <w:p w14:paraId="0236C20F" w14:textId="4716D7FC" w:rsidR="008B3943" w:rsidRDefault="008B3943">
      <w:pPr>
        <w:pStyle w:val="FootnoteText"/>
      </w:pPr>
      <w:r>
        <w:rPr>
          <w:rStyle w:val="FootnoteReference"/>
        </w:rPr>
        <w:footnoteRef/>
      </w:r>
      <w:r>
        <w:t xml:space="preserve"> University of Sheffield &amp; DWELL (2016) Designing with Downsizers</w:t>
      </w:r>
    </w:p>
  </w:footnote>
  <w:footnote w:id="50">
    <w:p w14:paraId="7B193DC1" w14:textId="2C2BFEA4" w:rsidR="008B3943" w:rsidRPr="000C53F0" w:rsidRDefault="008B3943" w:rsidP="00826421">
      <w:pPr>
        <w:pStyle w:val="FootnoteText"/>
        <w:rPr>
          <w:szCs w:val="16"/>
        </w:rPr>
      </w:pPr>
      <w:r>
        <w:rPr>
          <w:rStyle w:val="FootnoteReference"/>
        </w:rPr>
        <w:footnoteRef/>
      </w:r>
      <w:r>
        <w:t xml:space="preserve"> </w:t>
      </w:r>
      <w:r w:rsidRPr="000C53F0">
        <w:rPr>
          <w:szCs w:val="16"/>
        </w:rPr>
        <w:t xml:space="preserve">See </w:t>
      </w:r>
      <w:r w:rsidRPr="000C53F0">
        <w:rPr>
          <w:szCs w:val="16"/>
          <w:lang w:val="en"/>
        </w:rPr>
        <w:t xml:space="preserve">Paragraph: 012 Reference ID: 63-012-20190626 at </w:t>
      </w:r>
      <w:hyperlink r:id="rId25" w:anchor="identifying-the-housing-requirements-of-older-and-disabled-people" w:history="1">
        <w:r w:rsidRPr="00450A31">
          <w:rPr>
            <w:rStyle w:val="Hyperlink"/>
            <w:szCs w:val="16"/>
            <w:lang w:val="en"/>
          </w:rPr>
          <w:t>https://www.gov.uk/guidance/housing-for-older-and-disabled-people#identifying-the-housing-requirements-of-older-and-disabled-people</w:t>
        </w:r>
      </w:hyperlink>
      <w:r>
        <w:rPr>
          <w:szCs w:val="16"/>
          <w:lang w:val="en"/>
        </w:rPr>
        <w:t xml:space="preserve"> </w:t>
      </w:r>
    </w:p>
  </w:footnote>
  <w:footnote w:id="51">
    <w:p w14:paraId="12630609" w14:textId="77777777" w:rsidR="008B3943" w:rsidRPr="00B12EE7" w:rsidRDefault="008B3943" w:rsidP="00826421">
      <w:pPr>
        <w:pStyle w:val="FootnoteText"/>
        <w:rPr>
          <w:szCs w:val="16"/>
        </w:rPr>
      </w:pPr>
      <w:r w:rsidRPr="00B12EE7">
        <w:rPr>
          <w:rStyle w:val="FootnoteReference"/>
          <w:szCs w:val="16"/>
        </w:rPr>
        <w:footnoteRef/>
      </w:r>
      <w:r w:rsidRPr="00B12EE7">
        <w:rPr>
          <w:szCs w:val="16"/>
        </w:rPr>
        <w:t xml:space="preserve"> See Paragraph: 017 Reference ID: 2a-017-20190220, at https://www.gov.uk/guidance/housing-and-economic-development-needs-assessments)</w:t>
      </w:r>
    </w:p>
  </w:footnote>
  <w:footnote w:id="52">
    <w:p w14:paraId="7BEB308D" w14:textId="77777777" w:rsidR="008B3943" w:rsidRPr="000C53F0" w:rsidRDefault="008B3943" w:rsidP="00826421">
      <w:pPr>
        <w:pStyle w:val="FootnoteText"/>
        <w:rPr>
          <w:szCs w:val="16"/>
        </w:rPr>
      </w:pPr>
      <w:r w:rsidRPr="000C53F0">
        <w:rPr>
          <w:rStyle w:val="FootnoteReference"/>
          <w:szCs w:val="16"/>
        </w:rPr>
        <w:footnoteRef/>
      </w:r>
      <w:r w:rsidRPr="000C53F0">
        <w:rPr>
          <w:szCs w:val="16"/>
        </w:rPr>
        <w:t xml:space="preserve"> Available at </w:t>
      </w:r>
      <w:hyperlink r:id="rId26" w:history="1">
        <w:r w:rsidRPr="000C53F0">
          <w:rPr>
            <w:rStyle w:val="Hyperlink1"/>
            <w:szCs w:val="16"/>
          </w:rPr>
          <w:t>https://www.housinglin.org.uk/Topics/browse/HousingExtraCare/ExtraCareStrategy/SHOP/SHOPv2/</w:t>
        </w:r>
      </w:hyperlink>
      <w:r w:rsidRPr="000C53F0">
        <w:rPr>
          <w:szCs w:val="16"/>
        </w:rPr>
        <w:t xml:space="preserve"> </w:t>
      </w:r>
    </w:p>
  </w:footnote>
  <w:footnote w:id="53">
    <w:p w14:paraId="08B294A7" w14:textId="25B36355" w:rsidR="008B3943" w:rsidRPr="000C53F0" w:rsidRDefault="008B3943" w:rsidP="00826421">
      <w:pPr>
        <w:pStyle w:val="FootnoteText"/>
      </w:pPr>
      <w:r>
        <w:rPr>
          <w:rStyle w:val="FootnoteReference"/>
        </w:rPr>
        <w:footnoteRef/>
      </w:r>
      <w:r>
        <w:t xml:space="preserve"> </w:t>
      </w:r>
      <w:r w:rsidRPr="000C53F0">
        <w:rPr>
          <w:szCs w:val="16"/>
          <w:lang w:val="en-US"/>
        </w:rPr>
        <w:t xml:space="preserve">For a full description of Planning Use Classes, please refer to </w:t>
      </w:r>
      <w:hyperlink r:id="rId27" w:history="1">
        <w:r w:rsidRPr="000C53F0">
          <w:rPr>
            <w:color w:val="auto"/>
            <w:szCs w:val="16"/>
            <w:lang w:val="en-US"/>
          </w:rPr>
          <w:t>https://www.planningportal.co.uk/info/200130/common_projects/9/change_of_use</w:t>
        </w:r>
      </w:hyperlink>
      <w:r w:rsidRPr="000C53F0">
        <w:rPr>
          <w:szCs w:val="16"/>
          <w:lang w:val="en-US"/>
        </w:rPr>
        <w:t xml:space="preserve"> </w:t>
      </w:r>
    </w:p>
  </w:footnote>
  <w:footnote w:id="54">
    <w:p w14:paraId="7C3C976C" w14:textId="22794C37" w:rsidR="008B3943" w:rsidRPr="00481F72" w:rsidRDefault="008B3943">
      <w:pPr>
        <w:pStyle w:val="FootnoteText"/>
        <w:rPr>
          <w:color w:val="auto"/>
        </w:rPr>
      </w:pPr>
      <w:r w:rsidRPr="00481F72">
        <w:rPr>
          <w:rStyle w:val="FootnoteReference"/>
        </w:rPr>
        <w:footnoteRef/>
      </w:r>
      <w:r w:rsidRPr="00481F72">
        <w:rPr>
          <w:color w:val="auto"/>
        </w:rPr>
        <w:t xml:space="preserve"> Rightsizing: Reframing the housing offer for older people, 2018, Phase and Manchester School of Architecture</w:t>
      </w:r>
    </w:p>
  </w:footnote>
  <w:footnote w:id="55">
    <w:p w14:paraId="43F98CEF" w14:textId="36A49471" w:rsidR="008B3943" w:rsidRPr="00481F72" w:rsidRDefault="008B3943">
      <w:pPr>
        <w:pStyle w:val="FootnoteText"/>
        <w:rPr>
          <w:color w:val="auto"/>
        </w:rPr>
      </w:pPr>
      <w:r w:rsidRPr="00481F72">
        <w:rPr>
          <w:rStyle w:val="FootnoteReference"/>
        </w:rPr>
        <w:footnoteRef/>
      </w:r>
      <w:r w:rsidRPr="00481F72">
        <w:rPr>
          <w:color w:val="auto"/>
        </w:rPr>
        <w:t xml:space="preserve"> </w:t>
      </w:r>
      <w:r w:rsidRPr="00481F72">
        <w:rPr>
          <w:color w:val="auto"/>
          <w:lang w:val="en-US"/>
        </w:rPr>
        <w:t>Pannell et al., 2012</w:t>
      </w:r>
    </w:p>
  </w:footnote>
  <w:footnote w:id="56">
    <w:p w14:paraId="1B88AAA2" w14:textId="6A3C6D85" w:rsidR="008B3943" w:rsidRPr="00481F72" w:rsidRDefault="008B3943">
      <w:pPr>
        <w:pStyle w:val="FootnoteText"/>
        <w:rPr>
          <w:color w:val="auto"/>
        </w:rPr>
      </w:pPr>
      <w:r w:rsidRPr="00481F72">
        <w:rPr>
          <w:rStyle w:val="FootnoteReference"/>
        </w:rPr>
        <w:footnoteRef/>
      </w:r>
      <w:r w:rsidRPr="00481F72">
        <w:rPr>
          <w:color w:val="auto"/>
        </w:rPr>
        <w:t xml:space="preserve"> Rightsizing: Reframing the housing offer for older people, 2018, Phase and Manchester School of Architecture</w:t>
      </w:r>
    </w:p>
  </w:footnote>
  <w:footnote w:id="57">
    <w:p w14:paraId="0F6CE3AB" w14:textId="7872032A" w:rsidR="008B3943" w:rsidRPr="00481F72" w:rsidRDefault="008B3943" w:rsidP="00C12812">
      <w:pPr>
        <w:pStyle w:val="FootnoteText"/>
        <w:rPr>
          <w:color w:val="auto"/>
          <w:szCs w:val="16"/>
        </w:rPr>
      </w:pPr>
      <w:r w:rsidRPr="00481F72">
        <w:rPr>
          <w:rStyle w:val="FootnoteReference"/>
          <w:szCs w:val="16"/>
        </w:rPr>
        <w:footnoteRef/>
      </w:r>
      <w:r w:rsidRPr="00481F72">
        <w:rPr>
          <w:color w:val="auto"/>
          <w:szCs w:val="16"/>
        </w:rPr>
        <w:t xml:space="preserve"> </w:t>
      </w:r>
      <w:hyperlink r:id="rId28" w:history="1">
        <w:r w:rsidRPr="00481F72">
          <w:rPr>
            <w:rStyle w:val="Hyperlink1"/>
            <w:color w:val="auto"/>
            <w:szCs w:val="16"/>
          </w:rPr>
          <w:t>https://www.demos.co.uk/files/TopoftheLadder-web.pdf?1378922386</w:t>
        </w:r>
      </w:hyperlink>
      <w:r w:rsidRPr="00481F72">
        <w:rPr>
          <w:color w:val="auto"/>
          <w:szCs w:val="16"/>
        </w:rPr>
        <w:t xml:space="preserve"> </w:t>
      </w:r>
    </w:p>
  </w:footnote>
  <w:footnote w:id="58">
    <w:p w14:paraId="5F66C6A0" w14:textId="77777777" w:rsidR="008B3943" w:rsidRPr="00481F72" w:rsidRDefault="008B3943" w:rsidP="00C12812">
      <w:pPr>
        <w:pStyle w:val="FootnoteText"/>
        <w:rPr>
          <w:color w:val="auto"/>
          <w:szCs w:val="16"/>
        </w:rPr>
      </w:pPr>
      <w:r w:rsidRPr="00481F72">
        <w:rPr>
          <w:rStyle w:val="FootnoteReference"/>
          <w:szCs w:val="16"/>
        </w:rPr>
        <w:footnoteRef/>
      </w:r>
      <w:r w:rsidRPr="00481F72">
        <w:rPr>
          <w:color w:val="auto"/>
          <w:szCs w:val="16"/>
        </w:rPr>
        <w:t xml:space="preserve"> Ibid.</w:t>
      </w:r>
    </w:p>
  </w:footnote>
  <w:footnote w:id="59">
    <w:p w14:paraId="04DEC81D" w14:textId="77777777" w:rsidR="008B3943" w:rsidRPr="00481F72" w:rsidRDefault="008B3943" w:rsidP="00C12812">
      <w:pPr>
        <w:pStyle w:val="FootnoteText"/>
        <w:rPr>
          <w:color w:val="auto"/>
          <w:szCs w:val="16"/>
        </w:rPr>
      </w:pPr>
      <w:r w:rsidRPr="00481F72">
        <w:rPr>
          <w:rStyle w:val="FootnoteReference"/>
          <w:szCs w:val="16"/>
        </w:rPr>
        <w:footnoteRef/>
      </w:r>
      <w:r w:rsidRPr="00481F72">
        <w:rPr>
          <w:color w:val="auto"/>
          <w:szCs w:val="16"/>
        </w:rPr>
        <w:t xml:space="preserve"> </w:t>
      </w:r>
      <w:hyperlink r:id="rId29" w:history="1">
        <w:r w:rsidRPr="00481F72">
          <w:rPr>
            <w:rStyle w:val="Hyperlink1"/>
            <w:color w:val="auto"/>
            <w:szCs w:val="16"/>
          </w:rPr>
          <w:t>https://www.housinglin.org.uk/_assets/Resources/Housing/OtherOrganisation/for-future-living_Oct2014.pdf</w:t>
        </w:r>
      </w:hyperlink>
      <w:r w:rsidRPr="00481F72">
        <w:rPr>
          <w:color w:val="auto"/>
          <w:szCs w:val="16"/>
        </w:rPr>
        <w:t xml:space="preserve"> </w:t>
      </w:r>
    </w:p>
  </w:footnote>
  <w:footnote w:id="60">
    <w:p w14:paraId="71AFA7CB" w14:textId="77777777" w:rsidR="008B3943" w:rsidRPr="00481F72" w:rsidRDefault="008B3943" w:rsidP="00C12812">
      <w:pPr>
        <w:pStyle w:val="FootnoteText"/>
        <w:rPr>
          <w:color w:val="auto"/>
          <w:szCs w:val="16"/>
        </w:rPr>
      </w:pPr>
      <w:r w:rsidRPr="00481F72">
        <w:rPr>
          <w:rStyle w:val="FootnoteReference"/>
          <w:szCs w:val="16"/>
        </w:rPr>
        <w:footnoteRef/>
      </w:r>
      <w:r w:rsidRPr="00481F72">
        <w:rPr>
          <w:color w:val="auto"/>
          <w:szCs w:val="16"/>
        </w:rPr>
        <w:t xml:space="preserve"> </w:t>
      </w:r>
      <w:hyperlink r:id="rId30" w:history="1">
        <w:r w:rsidRPr="00481F72">
          <w:rPr>
            <w:rStyle w:val="Hyperlink1"/>
            <w:color w:val="auto"/>
            <w:szCs w:val="16"/>
          </w:rPr>
          <w:t>https://www.demos.co.uk/files/TopoftheLadder-web.pdf?1378922386</w:t>
        </w:r>
      </w:hyperlink>
      <w:r w:rsidRPr="00481F72">
        <w:rPr>
          <w:color w:val="auto"/>
          <w:szCs w:val="16"/>
        </w:rPr>
        <w:t xml:space="preserve"> </w:t>
      </w:r>
    </w:p>
  </w:footnote>
  <w:footnote w:id="61">
    <w:p w14:paraId="7AC51DD7" w14:textId="77777777" w:rsidR="008B3943" w:rsidRPr="00481F72" w:rsidRDefault="008B3943" w:rsidP="00C12812">
      <w:pPr>
        <w:pStyle w:val="FootnoteText"/>
        <w:rPr>
          <w:color w:val="auto"/>
          <w:szCs w:val="16"/>
        </w:rPr>
      </w:pPr>
      <w:r w:rsidRPr="00481F72">
        <w:rPr>
          <w:color w:val="auto"/>
          <w:szCs w:val="16"/>
          <w:vertAlign w:val="superscript"/>
        </w:rPr>
        <w:footnoteRef/>
      </w:r>
      <w:r w:rsidRPr="00481F72">
        <w:rPr>
          <w:color w:val="auto"/>
          <w:szCs w:val="16"/>
          <w:vertAlign w:val="superscript"/>
        </w:rPr>
        <w:t xml:space="preserve"> </w:t>
      </w:r>
      <w:hyperlink r:id="rId31" w:history="1">
        <w:r w:rsidRPr="00481F72">
          <w:rPr>
            <w:rStyle w:val="Hyperlink1"/>
            <w:color w:val="auto"/>
            <w:szCs w:val="16"/>
          </w:rPr>
          <w:t>http://researchbriefings.files.parliament.uk/documents/CBP-7423/CBP-7423.pdf</w:t>
        </w:r>
      </w:hyperlink>
      <w:r w:rsidRPr="00481F72">
        <w:rPr>
          <w:color w:val="auto"/>
          <w:szCs w:val="16"/>
        </w:rPr>
        <w:t xml:space="preserve"> </w:t>
      </w:r>
    </w:p>
  </w:footnote>
  <w:footnote w:id="62">
    <w:p w14:paraId="45FD6EDC" w14:textId="3470AD77" w:rsidR="008B3943" w:rsidRPr="00481F72" w:rsidRDefault="008B3943" w:rsidP="00826421">
      <w:pPr>
        <w:pStyle w:val="FootnoteText"/>
        <w:rPr>
          <w:color w:val="auto"/>
          <w:szCs w:val="16"/>
        </w:rPr>
      </w:pPr>
      <w:r w:rsidRPr="00481F72">
        <w:rPr>
          <w:rStyle w:val="FootnoteReference"/>
          <w:szCs w:val="16"/>
        </w:rPr>
        <w:footnoteRef/>
      </w:r>
      <w:r w:rsidRPr="00481F72">
        <w:rPr>
          <w:color w:val="auto"/>
          <w:szCs w:val="16"/>
        </w:rPr>
        <w:t xml:space="preserve"> Available at </w:t>
      </w:r>
      <w:hyperlink r:id="rId32" w:anchor="identifying-the-housing-requirements-of-older-and-disabled-people" w:history="1">
        <w:r w:rsidRPr="00450A31">
          <w:rPr>
            <w:rStyle w:val="Hyperlink"/>
            <w:szCs w:val="16"/>
          </w:rPr>
          <w:t>https://www.gov.uk/guidance/housing-for-older-and-disabled-people#identifying-the-housing-requirements-of-older-and-disabled-people</w:t>
        </w:r>
      </w:hyperlink>
      <w:r>
        <w:rPr>
          <w:color w:val="auto"/>
          <w:szCs w:val="16"/>
        </w:rPr>
        <w:t xml:space="preserve"> </w:t>
      </w:r>
    </w:p>
  </w:footnote>
  <w:footnote w:id="63">
    <w:p w14:paraId="7B297C29" w14:textId="03C5E9AD" w:rsidR="008B3943" w:rsidRDefault="008B3943">
      <w:pPr>
        <w:pStyle w:val="FootnoteText"/>
      </w:pPr>
      <w:r w:rsidRPr="00481F72">
        <w:rPr>
          <w:rStyle w:val="FootnoteReference"/>
        </w:rPr>
        <w:footnoteRef/>
      </w:r>
      <w:r w:rsidRPr="00481F72">
        <w:rPr>
          <w:color w:val="auto"/>
        </w:rPr>
        <w:t xml:space="preserve"> Housing for Older and disabled people, Guidance June 2019, MHCLG</w:t>
      </w:r>
    </w:p>
  </w:footnote>
  <w:footnote w:id="64">
    <w:p w14:paraId="00AB2522" w14:textId="77777777" w:rsidR="008B3943" w:rsidRPr="00B1493D" w:rsidRDefault="008B3943" w:rsidP="00826421">
      <w:pPr>
        <w:pStyle w:val="FootnoteText"/>
        <w:rPr>
          <w:szCs w:val="16"/>
        </w:rPr>
      </w:pPr>
      <w:r w:rsidRPr="00B1493D">
        <w:rPr>
          <w:rStyle w:val="FootnoteReference"/>
          <w:szCs w:val="16"/>
        </w:rPr>
        <w:footnoteRef/>
      </w:r>
      <w:r w:rsidRPr="00B1493D">
        <w:rPr>
          <w:szCs w:val="16"/>
        </w:rPr>
        <w:t xml:space="preserve"> </w:t>
      </w:r>
      <w:hyperlink r:id="rId33" w:history="1">
        <w:r w:rsidRPr="00B1493D">
          <w:rPr>
            <w:rStyle w:val="Hyperlink1"/>
            <w:szCs w:val="16"/>
          </w:rPr>
          <w:t>https://www.ageuk.org.uk/globalassets/age-uk/documents/reports-and-publications/reports-and-briefings/safe-at-home/rb_july14_housing_later_life_report.pdf</w:t>
        </w:r>
      </w:hyperlink>
      <w:r w:rsidRPr="00B1493D">
        <w:rPr>
          <w:szCs w:val="16"/>
        </w:rPr>
        <w:t xml:space="preserve"> </w:t>
      </w:r>
    </w:p>
  </w:footnote>
  <w:footnote w:id="65">
    <w:p w14:paraId="40BC32F0" w14:textId="5007802C" w:rsidR="008B3943" w:rsidRPr="00B1493D" w:rsidRDefault="008B3943" w:rsidP="00826421">
      <w:pPr>
        <w:pStyle w:val="FootnoteText"/>
        <w:rPr>
          <w:szCs w:val="16"/>
        </w:rPr>
      </w:pPr>
      <w:r w:rsidRPr="00B1493D">
        <w:rPr>
          <w:rStyle w:val="FootnoteReference"/>
          <w:szCs w:val="16"/>
        </w:rPr>
        <w:footnoteRef/>
      </w:r>
      <w:r w:rsidRPr="00B1493D">
        <w:rPr>
          <w:szCs w:val="16"/>
        </w:rPr>
        <w:t xml:space="preserve"> </w:t>
      </w:r>
      <w:hyperlink r:id="rId34" w:history="1">
        <w:r w:rsidRPr="00450A31">
          <w:rPr>
            <w:rStyle w:val="Hyperlink"/>
            <w:szCs w:val="16"/>
          </w:rPr>
          <w:t>https://www.gov.uk/guidance/self-build-and-custom-housebuilding</w:t>
        </w:r>
      </w:hyperlink>
      <w:r>
        <w:rPr>
          <w:szCs w:val="16"/>
        </w:rPr>
        <w:t xml:space="preserve"> </w:t>
      </w:r>
    </w:p>
  </w:footnote>
  <w:footnote w:id="66">
    <w:p w14:paraId="0EFAF3C3" w14:textId="46E39B74" w:rsidR="008B3943" w:rsidRPr="00B1493D" w:rsidRDefault="008B3943" w:rsidP="00826421">
      <w:pPr>
        <w:pStyle w:val="FootnoteText"/>
        <w:rPr>
          <w:szCs w:val="16"/>
        </w:rPr>
      </w:pPr>
      <w:r w:rsidRPr="00B1493D">
        <w:rPr>
          <w:rStyle w:val="FootnoteReference"/>
          <w:szCs w:val="16"/>
        </w:rPr>
        <w:footnoteRef/>
      </w:r>
      <w:r w:rsidRPr="00B1493D">
        <w:rPr>
          <w:szCs w:val="16"/>
        </w:rPr>
        <w:t xml:space="preserve"> See </w:t>
      </w:r>
      <w:r w:rsidRPr="00B1493D">
        <w:rPr>
          <w:szCs w:val="16"/>
          <w:lang w:val="en"/>
        </w:rPr>
        <w:t xml:space="preserve">Paragraph: 011 Reference ID: 63-011-20190626 at </w:t>
      </w:r>
      <w:hyperlink r:id="rId35" w:anchor="identifying-the-housing-requirements-of-older-and-disabled-people" w:history="1">
        <w:r w:rsidRPr="005F7A63">
          <w:rPr>
            <w:rStyle w:val="Hyperlink"/>
            <w:szCs w:val="16"/>
            <w:lang w:val="en"/>
          </w:rPr>
          <w:t>https://www.gov.uk/guidance/housing-for-older-and-disabled-people#identifying-the-housing-requirements-of-older-and-disabled-people</w:t>
        </w:r>
      </w:hyperlink>
      <w:r>
        <w:rPr>
          <w:szCs w:val="16"/>
          <w:lang w:val="en"/>
        </w:rPr>
        <w:t xml:space="preserve"> </w:t>
      </w:r>
    </w:p>
  </w:footnote>
  <w:footnote w:id="67">
    <w:p w14:paraId="4C664539" w14:textId="77777777" w:rsidR="008B3943" w:rsidRPr="00B1493D" w:rsidRDefault="008B3943" w:rsidP="00826421">
      <w:pPr>
        <w:pStyle w:val="FootnoteText"/>
        <w:rPr>
          <w:szCs w:val="16"/>
        </w:rPr>
      </w:pPr>
      <w:r w:rsidRPr="00B1493D">
        <w:rPr>
          <w:rStyle w:val="FootnoteReference"/>
          <w:szCs w:val="16"/>
        </w:rPr>
        <w:footnoteRef/>
      </w:r>
      <w:r w:rsidRPr="00B1493D">
        <w:rPr>
          <w:szCs w:val="16"/>
        </w:rPr>
        <w:t xml:space="preserve"> https://www.gov.uk/guidance/housing-for-older-and-disabled-people#identifying-the-housing-requirements-of-older-and-disabled-people</w:t>
      </w:r>
    </w:p>
  </w:footnote>
  <w:footnote w:id="68">
    <w:p w14:paraId="0A7A7D31" w14:textId="77777777" w:rsidR="008B3943" w:rsidRPr="00B1493D" w:rsidRDefault="008B3943" w:rsidP="00826421">
      <w:pPr>
        <w:pStyle w:val="FootnoteText"/>
        <w:rPr>
          <w:szCs w:val="16"/>
        </w:rPr>
      </w:pPr>
      <w:r w:rsidRPr="00B1493D">
        <w:rPr>
          <w:rStyle w:val="FootnoteReference"/>
          <w:szCs w:val="16"/>
        </w:rPr>
        <w:footnoteRef/>
      </w:r>
      <w:r w:rsidRPr="00B1493D">
        <w:rPr>
          <w:szCs w:val="16"/>
        </w:rPr>
        <w:t xml:space="preserve"> See </w:t>
      </w:r>
      <w:hyperlink r:id="rId36" w:history="1">
        <w:r w:rsidRPr="00B1493D">
          <w:rPr>
            <w:rStyle w:val="Hyperlink1"/>
            <w:szCs w:val="16"/>
          </w:rPr>
          <w:t>https://www.ageuk.org.uk/documents/EN-GB/Political/Age%20UK%20ID201813%20Housing%20Later%20Life%20Report%20-%20final.pdf?dtrk=true</w:t>
        </w:r>
      </w:hyperlink>
      <w:r w:rsidRPr="00B1493D">
        <w:rPr>
          <w:szCs w:val="16"/>
        </w:rPr>
        <w:t xml:space="preserve"> </w:t>
      </w:r>
    </w:p>
  </w:footnote>
  <w:footnote w:id="69">
    <w:p w14:paraId="18218058" w14:textId="77777777" w:rsidR="008B3943" w:rsidRDefault="008B3943" w:rsidP="00826421">
      <w:pPr>
        <w:pStyle w:val="FootnoteText"/>
      </w:pPr>
      <w:r>
        <w:rPr>
          <w:rStyle w:val="FootnoteReference"/>
        </w:rPr>
        <w:footnoteRef/>
      </w:r>
      <w:r>
        <w:t xml:space="preserve"> Further details on the definition of different types of housing within the English planning system are available at </w:t>
      </w:r>
      <w:hyperlink r:id="rId37" w:history="1">
        <w:r w:rsidRPr="000E4CE6">
          <w:rPr>
            <w:rStyle w:val="Hyperlink"/>
            <w:rFonts w:cstheme="minorHAnsi"/>
          </w:rPr>
          <w:t>https://www.gov.uk/guidance/definitions-of-general-housing-terms</w:t>
        </w:r>
      </w:hyperlink>
      <w:r w:rsidRPr="000E4CE6">
        <w:rPr>
          <w:rFonts w:cstheme="minorHAnsi"/>
        </w:rPr>
        <w:t xml:space="preserve">  </w:t>
      </w:r>
    </w:p>
  </w:footnote>
  <w:footnote w:id="70">
    <w:p w14:paraId="584564A4" w14:textId="77777777" w:rsidR="008B3943" w:rsidRDefault="008B3943" w:rsidP="00826421">
      <w:pPr>
        <w:pStyle w:val="FootnoteText"/>
      </w:pPr>
      <w:r>
        <w:rPr>
          <w:rStyle w:val="FootnoteReference"/>
        </w:rPr>
        <w:footnoteRef/>
      </w:r>
      <w:r>
        <w:t xml:space="preserve"> See </w:t>
      </w:r>
      <w:r w:rsidRPr="009063DD">
        <w:t>Paragraph: 009 Reference ID: 13-009-20140306</w:t>
      </w:r>
      <w:r>
        <w:t xml:space="preserve"> at </w:t>
      </w:r>
      <w:hyperlink r:id="rId38" w:history="1">
        <w:r w:rsidRPr="00EC5123">
          <w:rPr>
            <w:rStyle w:val="Hyperlink"/>
          </w:rPr>
          <w:t>https://www.gov.uk/guidance/when-is-permission-required</w:t>
        </w:r>
      </w:hyperlink>
      <w:r>
        <w:t xml:space="preserve"> </w:t>
      </w:r>
    </w:p>
  </w:footnote>
  <w:footnote w:id="71">
    <w:p w14:paraId="7932DC03" w14:textId="77777777" w:rsidR="008B3943" w:rsidRPr="000E4CE6" w:rsidRDefault="008B3943" w:rsidP="00826421">
      <w:pPr>
        <w:pStyle w:val="FootnoteText"/>
        <w:jc w:val="both"/>
        <w:rPr>
          <w:rFonts w:cstheme="minorHAnsi"/>
        </w:rPr>
      </w:pPr>
      <w:r w:rsidRPr="000E4CE6">
        <w:rPr>
          <w:rStyle w:val="FootnoteReference"/>
          <w:rFonts w:asciiTheme="minorHAnsi" w:hAnsiTheme="minorHAnsi" w:cstheme="minorHAnsi"/>
        </w:rPr>
        <w:footnoteRef/>
      </w:r>
      <w:r w:rsidRPr="000E4CE6">
        <w:rPr>
          <w:rFonts w:cstheme="minorHAnsi"/>
        </w:rPr>
        <w:t xml:space="preserve"> ONS, 2011 (KS405EW)</w:t>
      </w:r>
    </w:p>
  </w:footnote>
  <w:footnote w:id="72">
    <w:p w14:paraId="272A35E9" w14:textId="77777777" w:rsidR="008B3943" w:rsidRDefault="008B3943" w:rsidP="00F468DD">
      <w:pPr>
        <w:pStyle w:val="FootnoteText"/>
      </w:pPr>
      <w:r>
        <w:rPr>
          <w:rStyle w:val="FootnoteReference"/>
        </w:rPr>
        <w:footnoteRef/>
      </w:r>
      <w:r>
        <w:t xml:space="preserve"> ‘Entry-level dwelling’ can be understood to comprise a property that costs the average value of dwellings falling into the lower quartile of house prices in the </w:t>
      </w:r>
      <w:r w:rsidRPr="00E160BD">
        <w:t>Neighbourhood</w:t>
      </w:r>
      <w:r>
        <w:t xml:space="preserve"> Plan area, as set out in the Tenure and Affordability chapter above.</w:t>
      </w:r>
    </w:p>
  </w:footnote>
  <w:footnote w:id="73">
    <w:p w14:paraId="745978B9" w14:textId="63DD5B25" w:rsidR="008B3943" w:rsidRDefault="008B3943" w:rsidP="002C2D5C">
      <w:pPr>
        <w:pStyle w:val="FootnoteText"/>
      </w:pPr>
      <w:r>
        <w:rPr>
          <w:rStyle w:val="FootnoteReference"/>
        </w:rPr>
        <w:footnoteRef/>
      </w:r>
      <w:r>
        <w:t xml:space="preserve"> This is based on the concept of the ‘room standard’, which </w:t>
      </w:r>
      <w:r w:rsidRPr="004C0421">
        <w:t xml:space="preserve">indicates a dwelling is legally overcrowded if two people of the opposite sex have to share a room to sleep in (this does not apply when couples share a room). </w:t>
      </w:r>
      <w:r>
        <w:t xml:space="preserve">See: </w:t>
      </w:r>
      <w:hyperlink r:id="rId39" w:history="1">
        <w:r w:rsidRPr="00CA3227">
          <w:rPr>
            <w:rStyle w:val="Hyperlink"/>
          </w:rPr>
          <w:t>http://england.shelter.org.uk/housing_advice/repairs/overcrowding</w:t>
        </w:r>
      </w:hyperlink>
    </w:p>
  </w:footnote>
  <w:footnote w:id="74">
    <w:p w14:paraId="27794C8A" w14:textId="288CFA16" w:rsidR="008B3943" w:rsidRDefault="008B3943" w:rsidP="002C2D5C">
      <w:pPr>
        <w:pStyle w:val="FootnoteText"/>
      </w:pPr>
      <w:r>
        <w:rPr>
          <w:rStyle w:val="FootnoteReference"/>
        </w:rPr>
        <w:footnoteRef/>
      </w:r>
      <w:r>
        <w:t xml:space="preserve"> </w:t>
      </w:r>
      <w:r w:rsidRPr="00440A6E">
        <w:t>It is important to note that current shared ownership models are only available for new build homes, which are assumed to cost more than this average taken from all open market housing, which also includes property re-sale.</w:t>
      </w:r>
    </w:p>
  </w:footnote>
  <w:footnote w:id="75">
    <w:p w14:paraId="34ADEBFA" w14:textId="77777777" w:rsidR="008B3943" w:rsidRDefault="008B3943" w:rsidP="00AC41F0">
      <w:pPr>
        <w:pStyle w:val="FootnoteText"/>
      </w:pPr>
      <w:r>
        <w:rPr>
          <w:rStyle w:val="FootnoteReference"/>
        </w:rPr>
        <w:footnoteRef/>
      </w:r>
      <w:r>
        <w:t xml:space="preserve"> </w:t>
      </w:r>
      <w:r w:rsidRPr="00F56E61">
        <w:t xml:space="preserve">The Tenant Services Authority has issued an explanatory note on these </w:t>
      </w:r>
      <w:r>
        <w:t xml:space="preserve">methods </w:t>
      </w:r>
      <w:r w:rsidRPr="00F56E61">
        <w:t xml:space="preserve">at </w:t>
      </w:r>
      <w:hyperlink r:id="rId40" w:history="1">
        <w:r w:rsidRPr="00EC5123">
          <w:rPr>
            <w:rStyle w:val="Hyperlink"/>
          </w:rPr>
          <w:t>http://www.communities.gov.uk/documents/planningandbuilding/pdf/1918430.pdf</w:t>
        </w:r>
      </w:hyperlink>
      <w:r>
        <w:t xml:space="preserve"> </w:t>
      </w:r>
    </w:p>
  </w:footnote>
  <w:footnote w:id="76">
    <w:p w14:paraId="0F42ABC4" w14:textId="77777777" w:rsidR="008B3943" w:rsidRDefault="008B3943" w:rsidP="00AC41F0">
      <w:pPr>
        <w:pStyle w:val="FootnoteText"/>
      </w:pPr>
      <w:r>
        <w:rPr>
          <w:rStyle w:val="FootnoteReference"/>
        </w:rPr>
        <w:footnoteRef/>
      </w:r>
      <w:r>
        <w:t xml:space="preserve"> See </w:t>
      </w:r>
      <w:hyperlink r:id="rId41" w:history="1">
        <w:r w:rsidRPr="00645544">
          <w:rPr>
            <w:rStyle w:val="Hyperlink"/>
          </w:rPr>
          <w:t>https://www.gov.uk/government/statistics/english-housing-survey-2011-to-2012-household-report</w:t>
        </w:r>
      </w:hyperlink>
      <w:r>
        <w:t xml:space="preserve"> </w:t>
      </w:r>
    </w:p>
  </w:footnote>
  <w:footnote w:id="77">
    <w:p w14:paraId="0BC43ECB" w14:textId="77777777" w:rsidR="008B3943" w:rsidRDefault="008B3943" w:rsidP="00AC41F0">
      <w:pPr>
        <w:pStyle w:val="FootnoteText"/>
      </w:pPr>
      <w:r w:rsidRPr="00F56E61">
        <w:rPr>
          <w:rStyle w:val="FootnoteReference"/>
          <w:szCs w:val="16"/>
        </w:rPr>
        <w:footnoteRef/>
      </w:r>
      <w:r w:rsidRPr="00F56E61">
        <w:rPr>
          <w:szCs w:val="16"/>
        </w:rPr>
        <w:t xml:space="preserve"> </w:t>
      </w:r>
      <w:r>
        <w:rPr>
          <w:szCs w:val="16"/>
        </w:rPr>
        <w:t xml:space="preserve">See </w:t>
      </w:r>
      <w:hyperlink r:id="rId42" w:history="1">
        <w:r w:rsidRPr="00645544">
          <w:rPr>
            <w:rStyle w:val="Hyperlink"/>
            <w:szCs w:val="16"/>
          </w:rPr>
          <w:t>https://www.gov.uk/guidance/national-planning-policy-framework/annex-2-glossary</w:t>
        </w:r>
      </w:hyperlink>
      <w:r>
        <w:rPr>
          <w:szCs w:val="16"/>
        </w:rPr>
        <w:t xml:space="preserve"> </w:t>
      </w:r>
    </w:p>
  </w:footnote>
  <w:footnote w:id="78">
    <w:p w14:paraId="02A9BB41" w14:textId="77777777" w:rsidR="008B3943" w:rsidRDefault="008B3943" w:rsidP="00AC41F0">
      <w:pPr>
        <w:pStyle w:val="FootnoteText"/>
      </w:pPr>
      <w:r w:rsidRPr="00F56E61">
        <w:rPr>
          <w:rStyle w:val="FootnoteReference"/>
          <w:szCs w:val="16"/>
        </w:rPr>
        <w:footnoteRef/>
      </w:r>
      <w:r>
        <w:t xml:space="preserve"> See </w:t>
      </w:r>
      <w:hyperlink r:id="rId43" w:history="1">
        <w:r w:rsidRPr="00645544">
          <w:rPr>
            <w:rStyle w:val="Hyperlink"/>
            <w:szCs w:val="16"/>
          </w:rPr>
          <w:t>http://webarchive.nationalarchives.gov.uk/20160107160832/http://www.ons.gov.uk/ons/dcp171776_350282.pdf</w:t>
        </w:r>
      </w:hyperlink>
      <w:r>
        <w:rPr>
          <w:szCs w:val="16"/>
        </w:rPr>
        <w:t xml:space="preserve"> </w:t>
      </w:r>
    </w:p>
  </w:footnote>
  <w:footnote w:id="79">
    <w:p w14:paraId="4481675B" w14:textId="77777777" w:rsidR="008B3943" w:rsidRDefault="008B3943" w:rsidP="00AC41F0">
      <w:pPr>
        <w:pStyle w:val="FootnoteText"/>
      </w:pPr>
      <w:r w:rsidRPr="00F56E61">
        <w:rPr>
          <w:rStyle w:val="FootnoteReference"/>
          <w:szCs w:val="16"/>
        </w:rPr>
        <w:footnoteRef/>
      </w:r>
      <w:r w:rsidRPr="00F56E61">
        <w:rPr>
          <w:szCs w:val="16"/>
        </w:rPr>
        <w:t xml:space="preserve"> </w:t>
      </w:r>
      <w:r>
        <w:rPr>
          <w:szCs w:val="16"/>
        </w:rPr>
        <w:t xml:space="preserve">See </w:t>
      </w:r>
      <w:hyperlink r:id="rId44" w:history="1">
        <w:r w:rsidRPr="00645544">
          <w:rPr>
            <w:rStyle w:val="Hyperlink"/>
            <w:szCs w:val="16"/>
          </w:rPr>
          <w:t>https://www.which.co.uk/news/2017/08/how-your-income-affects-your-mortgage-chances/</w:t>
        </w:r>
      </w:hyperlink>
      <w:r>
        <w:rPr>
          <w:szCs w:val="16"/>
        </w:rPr>
        <w:t xml:space="preserve"> </w:t>
      </w:r>
    </w:p>
  </w:footnote>
  <w:footnote w:id="80">
    <w:p w14:paraId="3366F77C" w14:textId="77777777" w:rsidR="008B3943" w:rsidRDefault="008B3943" w:rsidP="00AC41F0">
      <w:pPr>
        <w:pStyle w:val="FootnoteText"/>
      </w:pPr>
      <w:r w:rsidRPr="00F56E61">
        <w:rPr>
          <w:rStyle w:val="FootnoteReference"/>
          <w:szCs w:val="16"/>
        </w:rPr>
        <w:footnoteRef/>
      </w:r>
      <w:r w:rsidRPr="00F56E61">
        <w:rPr>
          <w:szCs w:val="16"/>
        </w:rPr>
        <w:t xml:space="preserve"> </w:t>
      </w:r>
      <w:r>
        <w:rPr>
          <w:szCs w:val="16"/>
        </w:rPr>
        <w:t xml:space="preserve">See </w:t>
      </w:r>
      <w:hyperlink r:id="rId45" w:history="1">
        <w:r w:rsidRPr="00645544">
          <w:rPr>
            <w:rStyle w:val="Hyperlink"/>
            <w:szCs w:val="16"/>
          </w:rPr>
          <w:t>http://www.housingcare.org/jargon-sheltered-housing.aspx</w:t>
        </w:r>
      </w:hyperlink>
      <w:r>
        <w:rPr>
          <w:szCs w:val="16"/>
        </w:rPr>
        <w:t xml:space="preserve"> </w:t>
      </w:r>
    </w:p>
  </w:footnote>
  <w:footnote w:id="81">
    <w:p w14:paraId="10313055" w14:textId="77777777" w:rsidR="008B3943" w:rsidRDefault="008B3943" w:rsidP="00AC41F0">
      <w:pPr>
        <w:pStyle w:val="FootnoteText"/>
      </w:pPr>
      <w:r>
        <w:rPr>
          <w:rStyle w:val="FootnoteReference"/>
        </w:rPr>
        <w:footnoteRef/>
      </w:r>
      <w:r>
        <w:t xml:space="preserve"> See </w:t>
      </w:r>
      <w:hyperlink r:id="rId46" w:anchor="Housing" w:history="1">
        <w:r w:rsidRPr="00645544">
          <w:rPr>
            <w:rStyle w:val="Hyperlink"/>
          </w:rPr>
          <w:t>http://www.communities.gov.uk/documents/planningandbuilding/doc/1980960.doc#Housing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6817490"/>
      <w:docPartObj>
        <w:docPartGallery w:val="Page Numbers (Top of Page)"/>
        <w:docPartUnique/>
      </w:docPartObj>
    </w:sdtPr>
    <w:sdtEndPr/>
    <w:sdtContent>
      <w:p w14:paraId="71D0A8D2" w14:textId="77777777" w:rsidR="008B3943" w:rsidRPr="00FD5F8B" w:rsidRDefault="008B3943" w:rsidP="00C378B2">
        <w:pPr>
          <w:pStyle w:val="Header"/>
        </w:pPr>
      </w:p>
      <w:tbl>
        <w:tblPr>
          <w:tblW w:w="11097" w:type="dxa"/>
          <w:tblLayout w:type="fixed"/>
          <w:tblCellMar>
            <w:left w:w="0" w:type="dxa"/>
            <w:right w:w="0" w:type="dxa"/>
          </w:tblCellMar>
          <w:tblLook w:val="00A0" w:firstRow="1" w:lastRow="0" w:firstColumn="1" w:lastColumn="0" w:noHBand="0" w:noVBand="0"/>
        </w:tblPr>
        <w:tblGrid>
          <w:gridCol w:w="7183"/>
          <w:gridCol w:w="3914"/>
        </w:tblGrid>
        <w:tr w:rsidR="008B3943" w:rsidRPr="00687BDA" w14:paraId="43D47AFE" w14:textId="77777777" w:rsidTr="00F06D67">
          <w:trPr>
            <w:trHeight w:val="20"/>
          </w:trPr>
          <w:tc>
            <w:tcPr>
              <w:tcW w:w="4395" w:type="dxa"/>
              <w:noWrap/>
            </w:tcPr>
            <w:p w14:paraId="6CE96A03" w14:textId="77777777" w:rsidR="008B3943" w:rsidRDefault="008B3943" w:rsidP="00F06D67">
              <w:r>
                <w:t>AECOM</w:t>
              </w:r>
            </w:p>
            <w:p w14:paraId="5194DA51" w14:textId="018569AA" w:rsidR="008B3943" w:rsidRPr="00D35DCB" w:rsidRDefault="008B3943" w:rsidP="00F06D67">
              <w:pPr>
                <w:pStyle w:val="BodyText"/>
                <w:rPr>
                  <w:noProof/>
                </w:rPr>
              </w:pPr>
              <w:r>
                <w:rPr>
                  <w:noProof/>
                </w:rPr>
                <w:t>Weymouth Neighbourhood Plan Housing Needs Assessment</w:t>
              </w:r>
            </w:p>
          </w:tc>
          <w:tc>
            <w:tcPr>
              <w:tcW w:w="2395" w:type="dxa"/>
              <w:noWrap/>
            </w:tcPr>
            <w:p w14:paraId="56883E8D" w14:textId="77777777" w:rsidR="008B3943" w:rsidRPr="00687BDA" w:rsidRDefault="008B3943" w:rsidP="00F06D67"/>
          </w:tc>
        </w:tr>
      </w:tbl>
      <w:p w14:paraId="4E9A5999" w14:textId="0619541B" w:rsidR="008B3943" w:rsidRPr="00FD5F8B" w:rsidRDefault="008B3943" w:rsidP="00C378B2">
        <w:pPr>
          <w:pStyle w:val="Header"/>
        </w:pPr>
        <w:r w:rsidRPr="00FD5F8B">
          <w:rPr>
            <w:color w:val="FF0000"/>
          </w:rPr>
          <w:tab/>
        </w:r>
        <w:r w:rsidRPr="00FD5F8B">
          <w:rPr>
            <w:color w:val="FF0000"/>
          </w:rPr>
          <w:tab/>
        </w:r>
        <w:r>
          <w:rPr>
            <w:color w:val="FF0000"/>
          </w:rPr>
          <w:t xml:space="preserve">    </w:t>
        </w:r>
        <w:r w:rsidRPr="00FD5F8B">
          <w:rPr>
            <w:noProof w:val="0"/>
          </w:rPr>
          <w:fldChar w:fldCharType="begin"/>
        </w:r>
        <w:r w:rsidRPr="00FD5F8B">
          <w:instrText xml:space="preserve"> PAGE   \* MERGEFORMAT </w:instrText>
        </w:r>
        <w:r w:rsidRPr="00FD5F8B">
          <w:rPr>
            <w:noProof w:val="0"/>
          </w:rPr>
          <w:fldChar w:fldCharType="separate"/>
        </w:r>
        <w:r>
          <w:t>5</w:t>
        </w:r>
        <w:r w:rsidRPr="00FD5F8B">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97" w:type="dxa"/>
      <w:tblLayout w:type="fixed"/>
      <w:tblCellMar>
        <w:left w:w="0" w:type="dxa"/>
        <w:right w:w="0" w:type="dxa"/>
      </w:tblCellMar>
      <w:tblLook w:val="00A0" w:firstRow="1" w:lastRow="0" w:firstColumn="1" w:lastColumn="0" w:noHBand="0" w:noVBand="0"/>
    </w:tblPr>
    <w:tblGrid>
      <w:gridCol w:w="4395"/>
      <w:gridCol w:w="2395"/>
      <w:gridCol w:w="2849"/>
      <w:gridCol w:w="1458"/>
    </w:tblGrid>
    <w:tr w:rsidR="008B3943" w:rsidRPr="00035BE0" w14:paraId="58BCCE76" w14:textId="77777777" w:rsidTr="00CA73BD">
      <w:trPr>
        <w:trHeight w:val="20"/>
      </w:trPr>
      <w:tc>
        <w:tcPr>
          <w:tcW w:w="4395" w:type="dxa"/>
          <w:noWrap/>
        </w:tcPr>
        <w:p w14:paraId="56A85830" w14:textId="77777777" w:rsidR="008B3943" w:rsidRDefault="008B3943" w:rsidP="00C378B2">
          <w:r>
            <w:t>AECOM</w:t>
          </w:r>
        </w:p>
        <w:p w14:paraId="134C1244" w14:textId="46612EEB" w:rsidR="008B3943" w:rsidRPr="00D35DCB" w:rsidRDefault="008B3943" w:rsidP="00C378B2">
          <w:pPr>
            <w:pStyle w:val="BodyText"/>
            <w:rPr>
              <w:noProof/>
            </w:rPr>
          </w:pPr>
          <w:r>
            <w:rPr>
              <w:noProof/>
            </w:rPr>
            <w:t>Weymouth Neighbourhood Plan Housing Needs Assessment</w:t>
          </w:r>
        </w:p>
      </w:tc>
      <w:tc>
        <w:tcPr>
          <w:tcW w:w="2395" w:type="dxa"/>
          <w:noWrap/>
        </w:tcPr>
        <w:p w14:paraId="68657299" w14:textId="77777777" w:rsidR="008B3943" w:rsidRPr="00687BDA" w:rsidRDefault="008B3943" w:rsidP="00C378B2"/>
      </w:tc>
      <w:tc>
        <w:tcPr>
          <w:tcW w:w="2849" w:type="dxa"/>
        </w:tcPr>
        <w:p w14:paraId="16EA44C1" w14:textId="77777777" w:rsidR="008B3943" w:rsidRPr="00B70F5C" w:rsidRDefault="008B3943" w:rsidP="00C378B2"/>
      </w:tc>
      <w:tc>
        <w:tcPr>
          <w:tcW w:w="1458" w:type="dxa"/>
        </w:tcPr>
        <w:p w14:paraId="345C6C8B" w14:textId="3C12B09E" w:rsidR="008B3943" w:rsidRPr="00D35DCB" w:rsidRDefault="008B3943" w:rsidP="00C378B2">
          <w:r>
            <w:fldChar w:fldCharType="begin"/>
          </w:r>
          <w:r>
            <w:instrText xml:space="preserve"> PAGE   \* MERGEFORMAT </w:instrText>
          </w:r>
          <w:r>
            <w:fldChar w:fldCharType="separate"/>
          </w:r>
          <w:r>
            <w:rPr>
              <w:noProof/>
            </w:rPr>
            <w:t>39</w:t>
          </w:r>
          <w:r>
            <w:rPr>
              <w:noProof/>
            </w:rPr>
            <w:fldChar w:fldCharType="end"/>
          </w:r>
        </w:p>
      </w:tc>
    </w:tr>
  </w:tbl>
  <w:p w14:paraId="5E496706" w14:textId="77777777" w:rsidR="008B3943" w:rsidRDefault="008B3943" w:rsidP="00C378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tblLayout w:type="fixed"/>
      <w:tblCellMar>
        <w:left w:w="0" w:type="dxa"/>
        <w:right w:w="0" w:type="dxa"/>
      </w:tblCellMar>
      <w:tblLook w:val="00A0" w:firstRow="1" w:lastRow="0" w:firstColumn="1" w:lastColumn="0" w:noHBand="0" w:noVBand="0"/>
    </w:tblPr>
    <w:tblGrid>
      <w:gridCol w:w="3221"/>
      <w:gridCol w:w="3569"/>
      <w:gridCol w:w="1832"/>
      <w:gridCol w:w="1458"/>
    </w:tblGrid>
    <w:tr w:rsidR="008B3943" w:rsidRPr="00035BE0" w14:paraId="1F977618" w14:textId="77777777">
      <w:trPr>
        <w:trHeight w:val="20"/>
      </w:trPr>
      <w:tc>
        <w:tcPr>
          <w:tcW w:w="3221" w:type="dxa"/>
          <w:noWrap/>
        </w:tcPr>
        <w:p w14:paraId="091749F9" w14:textId="77777777" w:rsidR="008B3943" w:rsidRPr="00D35DCB" w:rsidRDefault="008B3943" w:rsidP="00E80CC8">
          <w:r>
            <w:t>AECOM</w:t>
          </w:r>
        </w:p>
      </w:tc>
      <w:tc>
        <w:tcPr>
          <w:tcW w:w="3569" w:type="dxa"/>
          <w:noWrap/>
        </w:tcPr>
        <w:p w14:paraId="5D7D7959" w14:textId="77777777" w:rsidR="008B3943" w:rsidRPr="00687BDA" w:rsidRDefault="008B3943" w:rsidP="00E80CC8"/>
      </w:tc>
      <w:tc>
        <w:tcPr>
          <w:tcW w:w="1832" w:type="dxa"/>
        </w:tcPr>
        <w:p w14:paraId="31A52566" w14:textId="77777777" w:rsidR="008B3943" w:rsidRPr="00B70F5C" w:rsidRDefault="008B3943" w:rsidP="00E80CC8"/>
      </w:tc>
      <w:tc>
        <w:tcPr>
          <w:tcW w:w="1458" w:type="dxa"/>
        </w:tcPr>
        <w:p w14:paraId="27987A45" w14:textId="7630BF78" w:rsidR="008B3943" w:rsidRPr="00D35DCB" w:rsidRDefault="008B3943" w:rsidP="00E80CC8">
          <w:r>
            <w:fldChar w:fldCharType="begin"/>
          </w:r>
          <w:r>
            <w:instrText xml:space="preserve"> PAGE   \* MERGEFORMAT </w:instrText>
          </w:r>
          <w:r>
            <w:fldChar w:fldCharType="separate"/>
          </w:r>
          <w:r>
            <w:rPr>
              <w:noProof/>
            </w:rPr>
            <w:t>74</w:t>
          </w:r>
          <w:r>
            <w:rPr>
              <w:noProof/>
            </w:rPr>
            <w:fldChar w:fldCharType="end"/>
          </w:r>
        </w:p>
      </w:tc>
    </w:tr>
  </w:tbl>
  <w:p w14:paraId="109A4612" w14:textId="77777777" w:rsidR="008B3943" w:rsidRDefault="008B39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D7DA48C8"/>
    <w:lvl w:ilvl="0">
      <w:start w:val="1"/>
      <w:numFmt w:val="decimal"/>
      <w:lvlText w:val="%1."/>
      <w:lvlJc w:val="left"/>
      <w:pPr>
        <w:tabs>
          <w:tab w:val="num" w:pos="360"/>
        </w:tabs>
        <w:ind w:left="360" w:hanging="360"/>
      </w:pPr>
    </w:lvl>
  </w:abstractNum>
  <w:abstractNum w:abstractNumId="5" w15:restartNumberingAfterBreak="0">
    <w:nsid w:val="06DD69E9"/>
    <w:multiLevelType w:val="multilevel"/>
    <w:tmpl w:val="149E568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6"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544798"/>
    <w:multiLevelType w:val="hybridMultilevel"/>
    <w:tmpl w:val="A77A801C"/>
    <w:lvl w:ilvl="0" w:tplc="8E96A11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E02E96"/>
    <w:multiLevelType w:val="multilevel"/>
    <w:tmpl w:val="E2D8332C"/>
    <w:lvl w:ilvl="0">
      <w:start w:val="1"/>
      <w:numFmt w:val="decimal"/>
      <w:lvlText w:val="%1."/>
      <w:lvlJc w:val="left"/>
      <w:pPr>
        <w:ind w:left="425" w:hanging="425"/>
      </w:pPr>
      <w:rPr>
        <w:rFonts w:hint="default"/>
        <w:b w:val="0"/>
        <w:i w:val="0"/>
        <w:color w:val="auto"/>
        <w:sz w:val="18"/>
        <w:szCs w:val="18"/>
      </w:rPr>
    </w:lvl>
    <w:lvl w:ilvl="1">
      <w:start w:val="1"/>
      <w:numFmt w:val="bullet"/>
      <w:lvlText w:val=""/>
      <w:lvlJc w:val="left"/>
      <w:pPr>
        <w:tabs>
          <w:tab w:val="num" w:pos="850"/>
        </w:tabs>
        <w:ind w:left="850" w:hanging="425"/>
      </w:pPr>
      <w:rPr>
        <w:rFonts w:ascii="Symbol" w:hAnsi="Symbol"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13"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4" w15:restartNumberingAfterBreak="0">
    <w:nsid w:val="2B2C79B9"/>
    <w:multiLevelType w:val="multilevel"/>
    <w:tmpl w:val="2020E9D2"/>
    <w:lvl w:ilvl="0">
      <w:start w:val="1"/>
      <w:numFmt w:val="upperLetter"/>
      <w:lvlText w:val="%1."/>
      <w:lvlJc w:val="left"/>
      <w:pPr>
        <w:ind w:left="1210" w:hanging="360"/>
      </w:pPr>
    </w:lvl>
    <w:lvl w:ilvl="1">
      <w:start w:val="1"/>
      <w:numFmt w:val="lowerLetter"/>
      <w:lvlText w:val="%2)"/>
      <w:lvlJc w:val="left"/>
      <w:pPr>
        <w:ind w:left="1570" w:hanging="360"/>
      </w:pPr>
    </w:lvl>
    <w:lvl w:ilvl="2">
      <w:start w:val="1"/>
      <w:numFmt w:val="lowerRoman"/>
      <w:lvlText w:val="%3)"/>
      <w:lvlJc w:val="left"/>
      <w:pPr>
        <w:ind w:left="1930" w:hanging="360"/>
      </w:pPr>
    </w:lvl>
    <w:lvl w:ilvl="3">
      <w:start w:val="1"/>
      <w:numFmt w:val="decimal"/>
      <w:lvlText w:val="(%4)"/>
      <w:lvlJc w:val="left"/>
      <w:pPr>
        <w:ind w:left="2290" w:hanging="360"/>
      </w:pPr>
    </w:lvl>
    <w:lvl w:ilvl="4">
      <w:start w:val="1"/>
      <w:numFmt w:val="lowerLetter"/>
      <w:lvlText w:val="(%5)"/>
      <w:lvlJc w:val="left"/>
      <w:pPr>
        <w:ind w:left="2650" w:hanging="360"/>
      </w:pPr>
    </w:lvl>
    <w:lvl w:ilvl="5">
      <w:start w:val="1"/>
      <w:numFmt w:val="lowerRoman"/>
      <w:lvlText w:val="(%6)"/>
      <w:lvlJc w:val="left"/>
      <w:pPr>
        <w:ind w:left="3010" w:hanging="360"/>
      </w:pPr>
    </w:lvl>
    <w:lvl w:ilvl="6">
      <w:start w:val="1"/>
      <w:numFmt w:val="decimal"/>
      <w:lvlText w:val="%7."/>
      <w:lvlJc w:val="left"/>
      <w:pPr>
        <w:ind w:left="3370" w:hanging="360"/>
      </w:pPr>
    </w:lvl>
    <w:lvl w:ilvl="7">
      <w:start w:val="1"/>
      <w:numFmt w:val="lowerLetter"/>
      <w:lvlText w:val="%8."/>
      <w:lvlJc w:val="left"/>
      <w:pPr>
        <w:ind w:left="3730" w:hanging="360"/>
      </w:pPr>
    </w:lvl>
    <w:lvl w:ilvl="8">
      <w:start w:val="1"/>
      <w:numFmt w:val="lowerRoman"/>
      <w:lvlText w:val="%9."/>
      <w:lvlJc w:val="left"/>
      <w:pPr>
        <w:ind w:left="4090" w:hanging="360"/>
      </w:pPr>
    </w:lvl>
  </w:abstractNum>
  <w:abstractNum w:abstractNumId="15" w15:restartNumberingAfterBreak="0">
    <w:nsid w:val="3754570F"/>
    <w:multiLevelType w:val="multilevel"/>
    <w:tmpl w:val="97505A4E"/>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44AF2CA0"/>
    <w:multiLevelType w:val="hybridMultilevel"/>
    <w:tmpl w:val="5F84DCD0"/>
    <w:lvl w:ilvl="0" w:tplc="77F097CC">
      <w:start w:val="12"/>
      <w:numFmt w:val="bullet"/>
      <w:lvlText w:val="-"/>
      <w:lvlJc w:val="left"/>
      <w:pPr>
        <w:ind w:left="408" w:hanging="360"/>
      </w:pPr>
      <w:rPr>
        <w:rFonts w:ascii="Calibri" w:eastAsiaTheme="minorHAnsi" w:hAnsi="Calibri"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8"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9" w15:restartNumberingAfterBreak="0">
    <w:nsid w:val="4C2D2806"/>
    <w:multiLevelType w:val="hybridMultilevel"/>
    <w:tmpl w:val="73A062D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0"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862"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3"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4" w15:restartNumberingAfterBreak="0">
    <w:nsid w:val="5571285C"/>
    <w:multiLevelType w:val="multilevel"/>
    <w:tmpl w:val="5442DFBE"/>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25" w15:restartNumberingAfterBreak="0">
    <w:nsid w:val="659A027C"/>
    <w:multiLevelType w:val="multilevel"/>
    <w:tmpl w:val="A9A00F42"/>
    <w:lvl w:ilvl="0">
      <w:start w:val="1"/>
      <w:numFmt w:val="decimal"/>
      <w:pStyle w:val="ListNumber"/>
      <w:lvlText w:val="%1."/>
      <w:lvlJc w:val="left"/>
      <w:pPr>
        <w:ind w:left="425" w:hanging="425"/>
      </w:pPr>
      <w:rPr>
        <w:rFonts w:hint="default"/>
        <w:b w:val="0"/>
        <w:i w:val="0"/>
        <w:color w:val="auto"/>
        <w:sz w:val="18"/>
        <w:szCs w:val="18"/>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6" w15:restartNumberingAfterBreak="0">
    <w:nsid w:val="68FF5876"/>
    <w:multiLevelType w:val="hybridMultilevel"/>
    <w:tmpl w:val="59FA43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EFE498B"/>
    <w:multiLevelType w:val="multilevel"/>
    <w:tmpl w:val="EF10EE80"/>
    <w:lvl w:ilvl="0">
      <w:start w:val="1"/>
      <w:numFmt w:val="bullet"/>
      <w:pStyle w:val="ListBullet"/>
      <w:lvlText w:val=""/>
      <w:lvlJc w:val="left"/>
      <w:pPr>
        <w:tabs>
          <w:tab w:val="num" w:pos="1145"/>
        </w:tabs>
        <w:ind w:left="1145" w:hanging="425"/>
      </w:pPr>
      <w:rPr>
        <w:rFonts w:ascii="Symbol" w:hAnsi="Symbol" w:hint="default"/>
        <w:color w:val="auto"/>
      </w:rPr>
    </w:lvl>
    <w:lvl w:ilvl="1">
      <w:start w:val="1"/>
      <w:numFmt w:val="bullet"/>
      <w:pStyle w:val="ListBullet2"/>
      <w:lvlText w:val="─"/>
      <w:lvlJc w:val="left"/>
      <w:pPr>
        <w:tabs>
          <w:tab w:val="num" w:pos="1571"/>
        </w:tabs>
        <w:ind w:left="1570" w:hanging="425"/>
      </w:pPr>
      <w:rPr>
        <w:rFonts w:ascii="Calibri" w:hAnsi="Calibri" w:hint="default"/>
        <w:color w:val="auto"/>
      </w:rPr>
    </w:lvl>
    <w:lvl w:ilvl="2">
      <w:start w:val="1"/>
      <w:numFmt w:val="bullet"/>
      <w:pStyle w:val="ListBullet3"/>
      <w:lvlText w:val=""/>
      <w:lvlJc w:val="left"/>
      <w:pPr>
        <w:tabs>
          <w:tab w:val="num" w:pos="1996"/>
        </w:tabs>
        <w:ind w:left="1995" w:hanging="425"/>
      </w:pPr>
      <w:rPr>
        <w:rFonts w:ascii="Wingdings" w:hAnsi="Wingdings" w:hint="default"/>
        <w:color w:val="auto"/>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color w:val="auto"/>
      </w:rPr>
    </w:lvl>
    <w:lvl w:ilvl="5">
      <w:start w:val="1"/>
      <w:numFmt w:val="bullet"/>
      <w:lvlText w:val=""/>
      <w:lvlJc w:val="left"/>
      <w:pPr>
        <w:tabs>
          <w:tab w:val="num" w:pos="3066"/>
        </w:tabs>
        <w:ind w:left="3270" w:hanging="425"/>
      </w:pPr>
      <w:rPr>
        <w:rFonts w:ascii="Wingdings" w:hAnsi="Wingdings" w:hint="default"/>
      </w:rPr>
    </w:lvl>
    <w:lvl w:ilvl="6">
      <w:start w:val="1"/>
      <w:numFmt w:val="bullet"/>
      <w:lvlText w:val=""/>
      <w:lvlJc w:val="left"/>
      <w:pPr>
        <w:tabs>
          <w:tab w:val="num" w:pos="3350"/>
        </w:tabs>
        <w:ind w:left="3695" w:hanging="425"/>
      </w:pPr>
      <w:rPr>
        <w:rFonts w:ascii="Symbol" w:hAnsi="Symbol" w:hint="default"/>
      </w:rPr>
    </w:lvl>
    <w:lvl w:ilvl="7">
      <w:start w:val="1"/>
      <w:numFmt w:val="bullet"/>
      <w:lvlText w:val="─"/>
      <w:lvlJc w:val="left"/>
      <w:pPr>
        <w:tabs>
          <w:tab w:val="num" w:pos="3634"/>
        </w:tabs>
        <w:ind w:left="4120" w:hanging="425"/>
      </w:pPr>
      <w:rPr>
        <w:rFonts w:ascii="Calibri" w:hAnsi="Calibri" w:hint="default"/>
        <w:color w:val="auto"/>
      </w:rPr>
    </w:lvl>
    <w:lvl w:ilvl="8">
      <w:start w:val="1"/>
      <w:numFmt w:val="bullet"/>
      <w:lvlText w:val=""/>
      <w:lvlJc w:val="left"/>
      <w:pPr>
        <w:tabs>
          <w:tab w:val="num" w:pos="3918"/>
        </w:tabs>
        <w:ind w:left="4545" w:hanging="425"/>
      </w:pPr>
      <w:rPr>
        <w:rFonts w:ascii="Wingdings" w:hAnsi="Wingdings" w:hint="default"/>
      </w:rPr>
    </w:lvl>
  </w:abstractNum>
  <w:abstractNum w:abstractNumId="28" w15:restartNumberingAfterBreak="0">
    <w:nsid w:val="718425C8"/>
    <w:multiLevelType w:val="hybridMultilevel"/>
    <w:tmpl w:val="36FEFC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B774E0D"/>
    <w:multiLevelType w:val="hybridMultilevel"/>
    <w:tmpl w:val="78A0086C"/>
    <w:lvl w:ilvl="0" w:tplc="8C3EB83C">
      <w:start w:val="1"/>
      <w:numFmt w:val="upperLetter"/>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23"/>
  </w:num>
  <w:num w:numId="3">
    <w:abstractNumId w:val="3"/>
  </w:num>
  <w:num w:numId="4">
    <w:abstractNumId w:val="2"/>
  </w:num>
  <w:num w:numId="5">
    <w:abstractNumId w:val="1"/>
  </w:num>
  <w:num w:numId="6">
    <w:abstractNumId w:val="0"/>
  </w:num>
  <w:num w:numId="7">
    <w:abstractNumId w:val="6"/>
  </w:num>
  <w:num w:numId="8">
    <w:abstractNumId w:val="10"/>
  </w:num>
  <w:num w:numId="9">
    <w:abstractNumId w:val="24"/>
  </w:num>
  <w:num w:numId="10">
    <w:abstractNumId w:val="7"/>
  </w:num>
  <w:num w:numId="11">
    <w:abstractNumId w:val="11"/>
  </w:num>
  <w:num w:numId="12">
    <w:abstractNumId w:val="20"/>
  </w:num>
  <w:num w:numId="13">
    <w:abstractNumId w:val="9"/>
  </w:num>
  <w:num w:numId="14">
    <w:abstractNumId w:val="27"/>
  </w:num>
  <w:num w:numId="15">
    <w:abstractNumId w:val="25"/>
  </w:num>
  <w:num w:numId="16">
    <w:abstractNumId w:val="13"/>
  </w:num>
  <w:num w:numId="17">
    <w:abstractNumId w:val="16"/>
  </w:num>
  <w:num w:numId="18">
    <w:abstractNumId w:val="16"/>
  </w:num>
  <w:num w:numId="19">
    <w:abstractNumId w:val="22"/>
  </w:num>
  <w:num w:numId="20">
    <w:abstractNumId w:val="5"/>
  </w:num>
  <w:num w:numId="21">
    <w:abstractNumId w:val="21"/>
  </w:num>
  <w:num w:numId="22">
    <w:abstractNumId w:val="26"/>
  </w:num>
  <w:num w:numId="23">
    <w:abstractNumId w:val="19"/>
  </w:num>
  <w:num w:numId="24">
    <w:abstractNumId w:val="14"/>
  </w:num>
  <w:num w:numId="25">
    <w:abstractNumId w:val="17"/>
  </w:num>
  <w:num w:numId="26">
    <w:abstractNumId w:val="29"/>
  </w:num>
  <w:num w:numId="27">
    <w:abstractNumId w:val="28"/>
  </w:num>
  <w:num w:numId="28">
    <w:abstractNumId w:val="12"/>
  </w:num>
  <w:num w:numId="29">
    <w:abstractNumId w:val="4"/>
  </w:num>
  <w:num w:numId="30">
    <w:abstractNumId w:val="8"/>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bTextLanguage_ListCount" w:val="0"/>
    <w:docVar w:name="cbTextLanguage_ListIndex" w:val="-1"/>
    <w:docVar w:name="CheckBox2" w:val="0"/>
    <w:docVar w:name="chkChangeCoverImage" w:val="0"/>
    <w:docVar w:name="chkDraft" w:val="-1"/>
    <w:docVar w:name="chkFileName" w:val="0"/>
    <w:docVar w:name="chkFileNamePath" w:val="0"/>
    <w:docVar w:name="chkIncludeClientInHedaer" w:val="0"/>
    <w:docVar w:name="chkIncludeClientonCover" w:val="0"/>
    <w:docVar w:name="chkOfficeAddressBackcover" w:val="0"/>
    <w:docVar w:name="chkPrintedOnRecycledPaper" w:val="0"/>
    <w:docVar w:name="chkSaveFooterDetails" w:val="0"/>
    <w:docVar w:name="chkSaveOfficeAddress" w:val="0"/>
    <w:docVar w:name="chkScholars" w:val="0"/>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6"/>
    <w:docVar w:name="lbImages_ListIndex" w:val="0"/>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0"/>
    <w:docVar w:name="optFont12" w:val="0"/>
    <w:docVar w:name="optFont9" w:val="-1"/>
    <w:docVar w:name="optGraphicFull" w:val="0"/>
    <w:docVar w:name="optHeading1Font18" w:val="0"/>
    <w:docVar w:name="optHeading1Font21" w:val="0"/>
    <w:docVar w:name="optHeading1Font24" w:val="-1"/>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1"/>
    <w:docVar w:name="optPlainBlue" w:val="0"/>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1"/>
    <w:docVar w:name="SelectedEntity" w:val="0"/>
    <w:docVar w:name="SelectedGeo" w:val="2"/>
    <w:docVar w:name="SelectedLanguage" w:val="0"/>
    <w:docVar w:name="SelectedOffice" w:val="33"/>
    <w:docVar w:name="SelectedPageLayout" w:val="3"/>
    <w:docVar w:name="SelectedRegion" w:val="4"/>
    <w:docVar w:name="tbDate" w:val="June 2017"/>
    <w:docVar w:name="tbDocumentTitle" w:val="HNA Template "/>
    <w:docVar w:name="tbFooterDetails" w:val="AECOM Limited registered in England &amp; Wales, company number 880328._x000d__x000a_AECOM House, 63-77 Victoria Street, St Albans, Hertfordshire, AL1 3ER"/>
    <w:docVar w:name="tbImage" w:val="Abstract Cable.jpg"/>
    <w:docVar w:name="tbOfficeAddress" w:val="AECOM Limited_x000d__x000a_Aldgate Tower_x000d__x000a_2 Leman Street_x000d__x000a_London_x000d__x000a_E1 8FA_x000d__x000a_aecom.com"/>
    <w:docVar w:name="TranslateChart" w:val="Chart"/>
    <w:docVar w:name="TranslateFigure" w:val="Figure"/>
    <w:docVar w:name="TranslateTable" w:val="Table"/>
  </w:docVars>
  <w:rsids>
    <w:rsidRoot w:val="005A1F44"/>
    <w:rsid w:val="000010BB"/>
    <w:rsid w:val="00004730"/>
    <w:rsid w:val="0000567F"/>
    <w:rsid w:val="00005796"/>
    <w:rsid w:val="00007D12"/>
    <w:rsid w:val="00007D78"/>
    <w:rsid w:val="00011B0A"/>
    <w:rsid w:val="00013912"/>
    <w:rsid w:val="000144E9"/>
    <w:rsid w:val="000163EB"/>
    <w:rsid w:val="0001783C"/>
    <w:rsid w:val="00023F39"/>
    <w:rsid w:val="00024A9C"/>
    <w:rsid w:val="00026EC3"/>
    <w:rsid w:val="00027303"/>
    <w:rsid w:val="000278B3"/>
    <w:rsid w:val="0003139A"/>
    <w:rsid w:val="0003173A"/>
    <w:rsid w:val="0003500D"/>
    <w:rsid w:val="0003617E"/>
    <w:rsid w:val="000364E3"/>
    <w:rsid w:val="0004124F"/>
    <w:rsid w:val="00043740"/>
    <w:rsid w:val="00044EF5"/>
    <w:rsid w:val="0004726B"/>
    <w:rsid w:val="00047FDB"/>
    <w:rsid w:val="00050057"/>
    <w:rsid w:val="0005363D"/>
    <w:rsid w:val="000537D2"/>
    <w:rsid w:val="00053F18"/>
    <w:rsid w:val="0005776B"/>
    <w:rsid w:val="0005782B"/>
    <w:rsid w:val="00063362"/>
    <w:rsid w:val="00063441"/>
    <w:rsid w:val="000637CD"/>
    <w:rsid w:val="000652F7"/>
    <w:rsid w:val="000663FA"/>
    <w:rsid w:val="00066A8B"/>
    <w:rsid w:val="00067457"/>
    <w:rsid w:val="000758BB"/>
    <w:rsid w:val="00082023"/>
    <w:rsid w:val="0008237C"/>
    <w:rsid w:val="00082904"/>
    <w:rsid w:val="00083354"/>
    <w:rsid w:val="0008380D"/>
    <w:rsid w:val="0008421F"/>
    <w:rsid w:val="000873D7"/>
    <w:rsid w:val="0009153B"/>
    <w:rsid w:val="000923AB"/>
    <w:rsid w:val="00092F8A"/>
    <w:rsid w:val="000944D0"/>
    <w:rsid w:val="0009611E"/>
    <w:rsid w:val="00097E17"/>
    <w:rsid w:val="000A14DC"/>
    <w:rsid w:val="000A2D0C"/>
    <w:rsid w:val="000A5E31"/>
    <w:rsid w:val="000A6A13"/>
    <w:rsid w:val="000A7C82"/>
    <w:rsid w:val="000B28E6"/>
    <w:rsid w:val="000B5432"/>
    <w:rsid w:val="000B73C5"/>
    <w:rsid w:val="000B7472"/>
    <w:rsid w:val="000B7AA3"/>
    <w:rsid w:val="000C03D4"/>
    <w:rsid w:val="000C0D5A"/>
    <w:rsid w:val="000C1F24"/>
    <w:rsid w:val="000C2C22"/>
    <w:rsid w:val="000C334B"/>
    <w:rsid w:val="000C3C1D"/>
    <w:rsid w:val="000C64A4"/>
    <w:rsid w:val="000C6635"/>
    <w:rsid w:val="000D13AF"/>
    <w:rsid w:val="000D4B17"/>
    <w:rsid w:val="000D7F81"/>
    <w:rsid w:val="000E0E0E"/>
    <w:rsid w:val="000E213A"/>
    <w:rsid w:val="000E3927"/>
    <w:rsid w:val="000E4587"/>
    <w:rsid w:val="000E7360"/>
    <w:rsid w:val="000F0027"/>
    <w:rsid w:val="000F0282"/>
    <w:rsid w:val="000F22FF"/>
    <w:rsid w:val="000F2C08"/>
    <w:rsid w:val="000F3D7C"/>
    <w:rsid w:val="000F4C55"/>
    <w:rsid w:val="000F5328"/>
    <w:rsid w:val="000F66C9"/>
    <w:rsid w:val="00102A70"/>
    <w:rsid w:val="001033BC"/>
    <w:rsid w:val="00103597"/>
    <w:rsid w:val="00104883"/>
    <w:rsid w:val="001065CD"/>
    <w:rsid w:val="00110478"/>
    <w:rsid w:val="00112827"/>
    <w:rsid w:val="00113736"/>
    <w:rsid w:val="00113896"/>
    <w:rsid w:val="0011536F"/>
    <w:rsid w:val="00115CA4"/>
    <w:rsid w:val="00115FBF"/>
    <w:rsid w:val="00116072"/>
    <w:rsid w:val="001169AC"/>
    <w:rsid w:val="00116B6B"/>
    <w:rsid w:val="0011737A"/>
    <w:rsid w:val="0012093B"/>
    <w:rsid w:val="001234C4"/>
    <w:rsid w:val="001244DC"/>
    <w:rsid w:val="00125678"/>
    <w:rsid w:val="0012592E"/>
    <w:rsid w:val="0012697D"/>
    <w:rsid w:val="00126CB5"/>
    <w:rsid w:val="00127AF4"/>
    <w:rsid w:val="001315BF"/>
    <w:rsid w:val="00132860"/>
    <w:rsid w:val="00133853"/>
    <w:rsid w:val="001343B0"/>
    <w:rsid w:val="00134992"/>
    <w:rsid w:val="00135D79"/>
    <w:rsid w:val="00136720"/>
    <w:rsid w:val="00136AA6"/>
    <w:rsid w:val="00136C29"/>
    <w:rsid w:val="00137930"/>
    <w:rsid w:val="00137944"/>
    <w:rsid w:val="001408A2"/>
    <w:rsid w:val="00142AEA"/>
    <w:rsid w:val="001430F2"/>
    <w:rsid w:val="00143D54"/>
    <w:rsid w:val="00144B71"/>
    <w:rsid w:val="001453AD"/>
    <w:rsid w:val="00145502"/>
    <w:rsid w:val="00145561"/>
    <w:rsid w:val="0014571E"/>
    <w:rsid w:val="00147691"/>
    <w:rsid w:val="00150531"/>
    <w:rsid w:val="0015105E"/>
    <w:rsid w:val="00152402"/>
    <w:rsid w:val="0015269D"/>
    <w:rsid w:val="00153BBE"/>
    <w:rsid w:val="001554A9"/>
    <w:rsid w:val="001568F4"/>
    <w:rsid w:val="00157E3E"/>
    <w:rsid w:val="00164CB2"/>
    <w:rsid w:val="00164DB7"/>
    <w:rsid w:val="00166D71"/>
    <w:rsid w:val="0017116A"/>
    <w:rsid w:val="00171542"/>
    <w:rsid w:val="00171B70"/>
    <w:rsid w:val="001730F3"/>
    <w:rsid w:val="00173C13"/>
    <w:rsid w:val="001750DB"/>
    <w:rsid w:val="0017608F"/>
    <w:rsid w:val="00176845"/>
    <w:rsid w:val="00177077"/>
    <w:rsid w:val="00177C13"/>
    <w:rsid w:val="00177DEA"/>
    <w:rsid w:val="00180DAF"/>
    <w:rsid w:val="0018100D"/>
    <w:rsid w:val="0018223E"/>
    <w:rsid w:val="0018305D"/>
    <w:rsid w:val="00184C65"/>
    <w:rsid w:val="0018531C"/>
    <w:rsid w:val="00186090"/>
    <w:rsid w:val="00186702"/>
    <w:rsid w:val="00186C1F"/>
    <w:rsid w:val="0019068B"/>
    <w:rsid w:val="00190CDA"/>
    <w:rsid w:val="001915ED"/>
    <w:rsid w:val="001920F8"/>
    <w:rsid w:val="001923DD"/>
    <w:rsid w:val="00193189"/>
    <w:rsid w:val="001937F2"/>
    <w:rsid w:val="00193855"/>
    <w:rsid w:val="00196E20"/>
    <w:rsid w:val="001A11B6"/>
    <w:rsid w:val="001A1D3C"/>
    <w:rsid w:val="001A1F61"/>
    <w:rsid w:val="001A52C9"/>
    <w:rsid w:val="001A52DD"/>
    <w:rsid w:val="001A600F"/>
    <w:rsid w:val="001A7F45"/>
    <w:rsid w:val="001B0513"/>
    <w:rsid w:val="001B143D"/>
    <w:rsid w:val="001B1A5F"/>
    <w:rsid w:val="001B1AE9"/>
    <w:rsid w:val="001B782D"/>
    <w:rsid w:val="001C07AF"/>
    <w:rsid w:val="001C2925"/>
    <w:rsid w:val="001C2BC0"/>
    <w:rsid w:val="001C3018"/>
    <w:rsid w:val="001C5F36"/>
    <w:rsid w:val="001C60EF"/>
    <w:rsid w:val="001C727A"/>
    <w:rsid w:val="001C7D04"/>
    <w:rsid w:val="001D0BB4"/>
    <w:rsid w:val="001D1299"/>
    <w:rsid w:val="001D150B"/>
    <w:rsid w:val="001D1D8A"/>
    <w:rsid w:val="001D33BC"/>
    <w:rsid w:val="001D499A"/>
    <w:rsid w:val="001E1743"/>
    <w:rsid w:val="001E1A68"/>
    <w:rsid w:val="001E1C2C"/>
    <w:rsid w:val="001E1DB1"/>
    <w:rsid w:val="001E1DC1"/>
    <w:rsid w:val="001E2B97"/>
    <w:rsid w:val="001E3D91"/>
    <w:rsid w:val="001E78CC"/>
    <w:rsid w:val="001F14A3"/>
    <w:rsid w:val="001F34A3"/>
    <w:rsid w:val="001F4214"/>
    <w:rsid w:val="001F5561"/>
    <w:rsid w:val="001F5E46"/>
    <w:rsid w:val="002024D6"/>
    <w:rsid w:val="00203182"/>
    <w:rsid w:val="0020318D"/>
    <w:rsid w:val="00203A4A"/>
    <w:rsid w:val="00204146"/>
    <w:rsid w:val="00205465"/>
    <w:rsid w:val="00205F73"/>
    <w:rsid w:val="00210122"/>
    <w:rsid w:val="00210DEC"/>
    <w:rsid w:val="00211F96"/>
    <w:rsid w:val="002122AA"/>
    <w:rsid w:val="00213392"/>
    <w:rsid w:val="002134B0"/>
    <w:rsid w:val="00214171"/>
    <w:rsid w:val="002147C0"/>
    <w:rsid w:val="0021554C"/>
    <w:rsid w:val="002155BC"/>
    <w:rsid w:val="0021591F"/>
    <w:rsid w:val="00215A8B"/>
    <w:rsid w:val="00215D9F"/>
    <w:rsid w:val="00215FCC"/>
    <w:rsid w:val="00216F12"/>
    <w:rsid w:val="00217946"/>
    <w:rsid w:val="0022001F"/>
    <w:rsid w:val="00223D83"/>
    <w:rsid w:val="002246BD"/>
    <w:rsid w:val="0022472C"/>
    <w:rsid w:val="00224E3C"/>
    <w:rsid w:val="00227631"/>
    <w:rsid w:val="00230A71"/>
    <w:rsid w:val="00232EE1"/>
    <w:rsid w:val="00233004"/>
    <w:rsid w:val="002402D4"/>
    <w:rsid w:val="002410C3"/>
    <w:rsid w:val="00241339"/>
    <w:rsid w:val="00241364"/>
    <w:rsid w:val="0024247B"/>
    <w:rsid w:val="00245043"/>
    <w:rsid w:val="00245426"/>
    <w:rsid w:val="00251DF6"/>
    <w:rsid w:val="0025287A"/>
    <w:rsid w:val="00252C7F"/>
    <w:rsid w:val="00253171"/>
    <w:rsid w:val="00254EC8"/>
    <w:rsid w:val="00255355"/>
    <w:rsid w:val="00255D2D"/>
    <w:rsid w:val="00255DC7"/>
    <w:rsid w:val="002603F2"/>
    <w:rsid w:val="002609AD"/>
    <w:rsid w:val="00260D50"/>
    <w:rsid w:val="0026195E"/>
    <w:rsid w:val="00262A6A"/>
    <w:rsid w:val="00263F55"/>
    <w:rsid w:val="00263FED"/>
    <w:rsid w:val="0026561D"/>
    <w:rsid w:val="00267777"/>
    <w:rsid w:val="00270E14"/>
    <w:rsid w:val="00271956"/>
    <w:rsid w:val="00272ED1"/>
    <w:rsid w:val="00273002"/>
    <w:rsid w:val="002740A7"/>
    <w:rsid w:val="002741BD"/>
    <w:rsid w:val="002752C6"/>
    <w:rsid w:val="00275E52"/>
    <w:rsid w:val="0027623E"/>
    <w:rsid w:val="002762F6"/>
    <w:rsid w:val="002770A0"/>
    <w:rsid w:val="00277FF1"/>
    <w:rsid w:val="0028000E"/>
    <w:rsid w:val="0028006B"/>
    <w:rsid w:val="0028145A"/>
    <w:rsid w:val="00281AC1"/>
    <w:rsid w:val="002828B5"/>
    <w:rsid w:val="002828D7"/>
    <w:rsid w:val="00283697"/>
    <w:rsid w:val="00284C82"/>
    <w:rsid w:val="002851E5"/>
    <w:rsid w:val="00287706"/>
    <w:rsid w:val="0029198A"/>
    <w:rsid w:val="00292E2D"/>
    <w:rsid w:val="00293C45"/>
    <w:rsid w:val="00295831"/>
    <w:rsid w:val="00295F63"/>
    <w:rsid w:val="002A6123"/>
    <w:rsid w:val="002A6328"/>
    <w:rsid w:val="002A6FF2"/>
    <w:rsid w:val="002A723C"/>
    <w:rsid w:val="002A7348"/>
    <w:rsid w:val="002A73A7"/>
    <w:rsid w:val="002A7CB9"/>
    <w:rsid w:val="002B1CCC"/>
    <w:rsid w:val="002B1D7D"/>
    <w:rsid w:val="002B31F8"/>
    <w:rsid w:val="002B4670"/>
    <w:rsid w:val="002B4677"/>
    <w:rsid w:val="002B5A8F"/>
    <w:rsid w:val="002B5EE5"/>
    <w:rsid w:val="002B6127"/>
    <w:rsid w:val="002C1EDB"/>
    <w:rsid w:val="002C2C4A"/>
    <w:rsid w:val="002C2D5C"/>
    <w:rsid w:val="002C40AE"/>
    <w:rsid w:val="002C4B35"/>
    <w:rsid w:val="002C646C"/>
    <w:rsid w:val="002C6C6B"/>
    <w:rsid w:val="002C7295"/>
    <w:rsid w:val="002C77CB"/>
    <w:rsid w:val="002C78EC"/>
    <w:rsid w:val="002C7C3C"/>
    <w:rsid w:val="002C7E48"/>
    <w:rsid w:val="002D1696"/>
    <w:rsid w:val="002D1969"/>
    <w:rsid w:val="002D1F63"/>
    <w:rsid w:val="002D336F"/>
    <w:rsid w:val="002D45C8"/>
    <w:rsid w:val="002D4CB6"/>
    <w:rsid w:val="002D4F56"/>
    <w:rsid w:val="002D51B3"/>
    <w:rsid w:val="002E028F"/>
    <w:rsid w:val="002E40A5"/>
    <w:rsid w:val="002E4175"/>
    <w:rsid w:val="002E58E2"/>
    <w:rsid w:val="002E6EF9"/>
    <w:rsid w:val="002E6F99"/>
    <w:rsid w:val="002E71E0"/>
    <w:rsid w:val="002E72EA"/>
    <w:rsid w:val="002F1DF2"/>
    <w:rsid w:val="002F388A"/>
    <w:rsid w:val="002F3B02"/>
    <w:rsid w:val="002F3D42"/>
    <w:rsid w:val="002F414D"/>
    <w:rsid w:val="00300042"/>
    <w:rsid w:val="00301623"/>
    <w:rsid w:val="003021D8"/>
    <w:rsid w:val="00302A12"/>
    <w:rsid w:val="0030488D"/>
    <w:rsid w:val="00306118"/>
    <w:rsid w:val="0030691D"/>
    <w:rsid w:val="00307C69"/>
    <w:rsid w:val="00310BEF"/>
    <w:rsid w:val="00311C82"/>
    <w:rsid w:val="003128DC"/>
    <w:rsid w:val="00312994"/>
    <w:rsid w:val="003130BF"/>
    <w:rsid w:val="003135BC"/>
    <w:rsid w:val="00315C27"/>
    <w:rsid w:val="00316CE6"/>
    <w:rsid w:val="00320747"/>
    <w:rsid w:val="00321DD1"/>
    <w:rsid w:val="003227EC"/>
    <w:rsid w:val="00323122"/>
    <w:rsid w:val="00323654"/>
    <w:rsid w:val="00324938"/>
    <w:rsid w:val="00324946"/>
    <w:rsid w:val="00324B62"/>
    <w:rsid w:val="00326FD9"/>
    <w:rsid w:val="00327242"/>
    <w:rsid w:val="00327DD0"/>
    <w:rsid w:val="00330926"/>
    <w:rsid w:val="00331304"/>
    <w:rsid w:val="003339B7"/>
    <w:rsid w:val="003379D3"/>
    <w:rsid w:val="003404B3"/>
    <w:rsid w:val="00342A65"/>
    <w:rsid w:val="00342FC4"/>
    <w:rsid w:val="00343248"/>
    <w:rsid w:val="00344A00"/>
    <w:rsid w:val="00347538"/>
    <w:rsid w:val="003519DE"/>
    <w:rsid w:val="00352ACD"/>
    <w:rsid w:val="00354241"/>
    <w:rsid w:val="00354BE9"/>
    <w:rsid w:val="003572C3"/>
    <w:rsid w:val="003618AD"/>
    <w:rsid w:val="00362D4F"/>
    <w:rsid w:val="0036321E"/>
    <w:rsid w:val="003636AD"/>
    <w:rsid w:val="00364FD7"/>
    <w:rsid w:val="00365132"/>
    <w:rsid w:val="003715FC"/>
    <w:rsid w:val="003723EF"/>
    <w:rsid w:val="003727A8"/>
    <w:rsid w:val="003732CF"/>
    <w:rsid w:val="00373B41"/>
    <w:rsid w:val="00373E8E"/>
    <w:rsid w:val="003742A0"/>
    <w:rsid w:val="00374C95"/>
    <w:rsid w:val="003760C4"/>
    <w:rsid w:val="0037743B"/>
    <w:rsid w:val="0037784E"/>
    <w:rsid w:val="00381436"/>
    <w:rsid w:val="00382551"/>
    <w:rsid w:val="00383735"/>
    <w:rsid w:val="00385CC2"/>
    <w:rsid w:val="00387B7C"/>
    <w:rsid w:val="00387DEF"/>
    <w:rsid w:val="003934D8"/>
    <w:rsid w:val="003964F2"/>
    <w:rsid w:val="00397421"/>
    <w:rsid w:val="003A015F"/>
    <w:rsid w:val="003A286F"/>
    <w:rsid w:val="003A2EED"/>
    <w:rsid w:val="003A3279"/>
    <w:rsid w:val="003A3894"/>
    <w:rsid w:val="003A38F5"/>
    <w:rsid w:val="003A7385"/>
    <w:rsid w:val="003A79BB"/>
    <w:rsid w:val="003B0CE1"/>
    <w:rsid w:val="003B175A"/>
    <w:rsid w:val="003B18BF"/>
    <w:rsid w:val="003B219E"/>
    <w:rsid w:val="003B31A5"/>
    <w:rsid w:val="003B36BF"/>
    <w:rsid w:val="003B3D20"/>
    <w:rsid w:val="003B5127"/>
    <w:rsid w:val="003B54A1"/>
    <w:rsid w:val="003B6C9A"/>
    <w:rsid w:val="003C10A6"/>
    <w:rsid w:val="003C11A1"/>
    <w:rsid w:val="003C29AA"/>
    <w:rsid w:val="003C2C77"/>
    <w:rsid w:val="003C43E3"/>
    <w:rsid w:val="003C488B"/>
    <w:rsid w:val="003C50AF"/>
    <w:rsid w:val="003C73C8"/>
    <w:rsid w:val="003C77CD"/>
    <w:rsid w:val="003D08F2"/>
    <w:rsid w:val="003D14C1"/>
    <w:rsid w:val="003D1681"/>
    <w:rsid w:val="003D2760"/>
    <w:rsid w:val="003D2814"/>
    <w:rsid w:val="003D6072"/>
    <w:rsid w:val="003D684E"/>
    <w:rsid w:val="003E04ED"/>
    <w:rsid w:val="003E1070"/>
    <w:rsid w:val="003E3DFD"/>
    <w:rsid w:val="003E4FE3"/>
    <w:rsid w:val="003F1955"/>
    <w:rsid w:val="003F4631"/>
    <w:rsid w:val="003F4CB8"/>
    <w:rsid w:val="003F5771"/>
    <w:rsid w:val="003F7459"/>
    <w:rsid w:val="003F7EA0"/>
    <w:rsid w:val="004006F8"/>
    <w:rsid w:val="00400934"/>
    <w:rsid w:val="00400AFF"/>
    <w:rsid w:val="00401071"/>
    <w:rsid w:val="00402F1D"/>
    <w:rsid w:val="00404758"/>
    <w:rsid w:val="0040514E"/>
    <w:rsid w:val="0040621C"/>
    <w:rsid w:val="0040775E"/>
    <w:rsid w:val="00407772"/>
    <w:rsid w:val="00407B2A"/>
    <w:rsid w:val="00407DE6"/>
    <w:rsid w:val="0041372D"/>
    <w:rsid w:val="00413A5A"/>
    <w:rsid w:val="00413BDE"/>
    <w:rsid w:val="00413F63"/>
    <w:rsid w:val="00415158"/>
    <w:rsid w:val="00415998"/>
    <w:rsid w:val="0041602D"/>
    <w:rsid w:val="00416050"/>
    <w:rsid w:val="00416307"/>
    <w:rsid w:val="0041646A"/>
    <w:rsid w:val="00416DFC"/>
    <w:rsid w:val="00417649"/>
    <w:rsid w:val="0042027F"/>
    <w:rsid w:val="004217B6"/>
    <w:rsid w:val="004231F6"/>
    <w:rsid w:val="00425A1A"/>
    <w:rsid w:val="00426E52"/>
    <w:rsid w:val="00427701"/>
    <w:rsid w:val="00430718"/>
    <w:rsid w:val="00430AD8"/>
    <w:rsid w:val="00431999"/>
    <w:rsid w:val="004332A1"/>
    <w:rsid w:val="00433CF8"/>
    <w:rsid w:val="00434080"/>
    <w:rsid w:val="004353E6"/>
    <w:rsid w:val="004355EC"/>
    <w:rsid w:val="0043568A"/>
    <w:rsid w:val="00435CF7"/>
    <w:rsid w:val="00437546"/>
    <w:rsid w:val="00440A6E"/>
    <w:rsid w:val="00440D87"/>
    <w:rsid w:val="0044100E"/>
    <w:rsid w:val="004442D2"/>
    <w:rsid w:val="004444AD"/>
    <w:rsid w:val="004444B4"/>
    <w:rsid w:val="00444877"/>
    <w:rsid w:val="0044532B"/>
    <w:rsid w:val="00445E59"/>
    <w:rsid w:val="004460FF"/>
    <w:rsid w:val="004468B0"/>
    <w:rsid w:val="00450792"/>
    <w:rsid w:val="0045162F"/>
    <w:rsid w:val="00451797"/>
    <w:rsid w:val="004524BA"/>
    <w:rsid w:val="00452C30"/>
    <w:rsid w:val="00456943"/>
    <w:rsid w:val="00457973"/>
    <w:rsid w:val="00460D15"/>
    <w:rsid w:val="00460F70"/>
    <w:rsid w:val="00461235"/>
    <w:rsid w:val="00463320"/>
    <w:rsid w:val="004641BD"/>
    <w:rsid w:val="004651D1"/>
    <w:rsid w:val="0046675F"/>
    <w:rsid w:val="0046691B"/>
    <w:rsid w:val="00467014"/>
    <w:rsid w:val="0047061E"/>
    <w:rsid w:val="0047067F"/>
    <w:rsid w:val="00472275"/>
    <w:rsid w:val="00473BA7"/>
    <w:rsid w:val="0047442C"/>
    <w:rsid w:val="00475C76"/>
    <w:rsid w:val="004764AA"/>
    <w:rsid w:val="00476910"/>
    <w:rsid w:val="00476DB8"/>
    <w:rsid w:val="004775A3"/>
    <w:rsid w:val="0048053F"/>
    <w:rsid w:val="00480CE2"/>
    <w:rsid w:val="00480F13"/>
    <w:rsid w:val="00481241"/>
    <w:rsid w:val="00481A96"/>
    <w:rsid w:val="00481F72"/>
    <w:rsid w:val="00483067"/>
    <w:rsid w:val="004864E1"/>
    <w:rsid w:val="00486D5A"/>
    <w:rsid w:val="0048755A"/>
    <w:rsid w:val="004901F0"/>
    <w:rsid w:val="00490643"/>
    <w:rsid w:val="004908C7"/>
    <w:rsid w:val="00491D33"/>
    <w:rsid w:val="00493CF1"/>
    <w:rsid w:val="00493F74"/>
    <w:rsid w:val="00495508"/>
    <w:rsid w:val="004955F0"/>
    <w:rsid w:val="00496AF0"/>
    <w:rsid w:val="004A019D"/>
    <w:rsid w:val="004A24C8"/>
    <w:rsid w:val="004A32B8"/>
    <w:rsid w:val="004A7221"/>
    <w:rsid w:val="004B5B2E"/>
    <w:rsid w:val="004B760D"/>
    <w:rsid w:val="004B77D6"/>
    <w:rsid w:val="004C157F"/>
    <w:rsid w:val="004C255D"/>
    <w:rsid w:val="004C4813"/>
    <w:rsid w:val="004C4865"/>
    <w:rsid w:val="004D0AF2"/>
    <w:rsid w:val="004D1548"/>
    <w:rsid w:val="004D3C7A"/>
    <w:rsid w:val="004D4675"/>
    <w:rsid w:val="004D4752"/>
    <w:rsid w:val="004D4868"/>
    <w:rsid w:val="004D4A35"/>
    <w:rsid w:val="004D55A5"/>
    <w:rsid w:val="004D5792"/>
    <w:rsid w:val="004D65DF"/>
    <w:rsid w:val="004D711A"/>
    <w:rsid w:val="004D7826"/>
    <w:rsid w:val="004E1B08"/>
    <w:rsid w:val="004E2B70"/>
    <w:rsid w:val="004E43B0"/>
    <w:rsid w:val="004E4AA9"/>
    <w:rsid w:val="004F2A79"/>
    <w:rsid w:val="004F2ED4"/>
    <w:rsid w:val="004F6A79"/>
    <w:rsid w:val="004F6E2F"/>
    <w:rsid w:val="004F6EDD"/>
    <w:rsid w:val="005032EA"/>
    <w:rsid w:val="00503E92"/>
    <w:rsid w:val="005056EB"/>
    <w:rsid w:val="0050790B"/>
    <w:rsid w:val="00507C4F"/>
    <w:rsid w:val="00511B79"/>
    <w:rsid w:val="00511F94"/>
    <w:rsid w:val="00512A4E"/>
    <w:rsid w:val="00512B79"/>
    <w:rsid w:val="0051362C"/>
    <w:rsid w:val="005137B7"/>
    <w:rsid w:val="00514986"/>
    <w:rsid w:val="00516141"/>
    <w:rsid w:val="00517F7D"/>
    <w:rsid w:val="005203DD"/>
    <w:rsid w:val="00521201"/>
    <w:rsid w:val="005222A4"/>
    <w:rsid w:val="00523956"/>
    <w:rsid w:val="00530AE4"/>
    <w:rsid w:val="00532F20"/>
    <w:rsid w:val="005354C0"/>
    <w:rsid w:val="005364D5"/>
    <w:rsid w:val="00537728"/>
    <w:rsid w:val="005377BA"/>
    <w:rsid w:val="00541284"/>
    <w:rsid w:val="00542152"/>
    <w:rsid w:val="00542F08"/>
    <w:rsid w:val="0054315A"/>
    <w:rsid w:val="0054374D"/>
    <w:rsid w:val="005453AF"/>
    <w:rsid w:val="00547C9E"/>
    <w:rsid w:val="0055004B"/>
    <w:rsid w:val="00550A23"/>
    <w:rsid w:val="00550FEA"/>
    <w:rsid w:val="005522BE"/>
    <w:rsid w:val="005522CA"/>
    <w:rsid w:val="00555145"/>
    <w:rsid w:val="00555AFC"/>
    <w:rsid w:val="0055609F"/>
    <w:rsid w:val="005562F7"/>
    <w:rsid w:val="00556737"/>
    <w:rsid w:val="00556EBF"/>
    <w:rsid w:val="00560DBB"/>
    <w:rsid w:val="0056313A"/>
    <w:rsid w:val="00566B7C"/>
    <w:rsid w:val="005714D9"/>
    <w:rsid w:val="005726CF"/>
    <w:rsid w:val="00572869"/>
    <w:rsid w:val="005737F7"/>
    <w:rsid w:val="005756F4"/>
    <w:rsid w:val="00580F71"/>
    <w:rsid w:val="00581337"/>
    <w:rsid w:val="0058175D"/>
    <w:rsid w:val="00582989"/>
    <w:rsid w:val="00584A7E"/>
    <w:rsid w:val="00591064"/>
    <w:rsid w:val="00593748"/>
    <w:rsid w:val="00594B90"/>
    <w:rsid w:val="005964DE"/>
    <w:rsid w:val="005A0EAB"/>
    <w:rsid w:val="005A19DC"/>
    <w:rsid w:val="005A1F44"/>
    <w:rsid w:val="005A2928"/>
    <w:rsid w:val="005A31D3"/>
    <w:rsid w:val="005A4C43"/>
    <w:rsid w:val="005B0062"/>
    <w:rsid w:val="005B11AA"/>
    <w:rsid w:val="005B26BD"/>
    <w:rsid w:val="005B2B74"/>
    <w:rsid w:val="005B321B"/>
    <w:rsid w:val="005B3E9A"/>
    <w:rsid w:val="005B4302"/>
    <w:rsid w:val="005B4D40"/>
    <w:rsid w:val="005B4FAE"/>
    <w:rsid w:val="005B7813"/>
    <w:rsid w:val="005C0262"/>
    <w:rsid w:val="005C077A"/>
    <w:rsid w:val="005C0885"/>
    <w:rsid w:val="005C0C51"/>
    <w:rsid w:val="005C0E4D"/>
    <w:rsid w:val="005C1E4A"/>
    <w:rsid w:val="005C4C2B"/>
    <w:rsid w:val="005C52EF"/>
    <w:rsid w:val="005C569E"/>
    <w:rsid w:val="005C5D9E"/>
    <w:rsid w:val="005C6C35"/>
    <w:rsid w:val="005C7CB0"/>
    <w:rsid w:val="005D0D76"/>
    <w:rsid w:val="005D15E5"/>
    <w:rsid w:val="005D2840"/>
    <w:rsid w:val="005D2A2C"/>
    <w:rsid w:val="005D4C50"/>
    <w:rsid w:val="005D638C"/>
    <w:rsid w:val="005E07F5"/>
    <w:rsid w:val="005E391C"/>
    <w:rsid w:val="005E4697"/>
    <w:rsid w:val="005E690E"/>
    <w:rsid w:val="005E73CE"/>
    <w:rsid w:val="005E7DB0"/>
    <w:rsid w:val="005F07DF"/>
    <w:rsid w:val="005F476A"/>
    <w:rsid w:val="005F50BC"/>
    <w:rsid w:val="005F54A3"/>
    <w:rsid w:val="005F6429"/>
    <w:rsid w:val="005F7AB9"/>
    <w:rsid w:val="00601502"/>
    <w:rsid w:val="00602211"/>
    <w:rsid w:val="00603781"/>
    <w:rsid w:val="00604D71"/>
    <w:rsid w:val="00605D88"/>
    <w:rsid w:val="0060626A"/>
    <w:rsid w:val="00606621"/>
    <w:rsid w:val="0060734F"/>
    <w:rsid w:val="0060740D"/>
    <w:rsid w:val="00610633"/>
    <w:rsid w:val="006120CE"/>
    <w:rsid w:val="00612CDB"/>
    <w:rsid w:val="00613236"/>
    <w:rsid w:val="006144DE"/>
    <w:rsid w:val="006160F0"/>
    <w:rsid w:val="00616244"/>
    <w:rsid w:val="00616B01"/>
    <w:rsid w:val="00616C1B"/>
    <w:rsid w:val="00621C3C"/>
    <w:rsid w:val="00623E11"/>
    <w:rsid w:val="00624CAA"/>
    <w:rsid w:val="006257CB"/>
    <w:rsid w:val="00625A5A"/>
    <w:rsid w:val="006272BB"/>
    <w:rsid w:val="0063091D"/>
    <w:rsid w:val="006313F1"/>
    <w:rsid w:val="006347B1"/>
    <w:rsid w:val="006354D9"/>
    <w:rsid w:val="006359D6"/>
    <w:rsid w:val="00635A5A"/>
    <w:rsid w:val="00637491"/>
    <w:rsid w:val="00643BA6"/>
    <w:rsid w:val="00643F22"/>
    <w:rsid w:val="00644DB9"/>
    <w:rsid w:val="00646027"/>
    <w:rsid w:val="00646A8B"/>
    <w:rsid w:val="00647F88"/>
    <w:rsid w:val="00653258"/>
    <w:rsid w:val="00653608"/>
    <w:rsid w:val="00654CBD"/>
    <w:rsid w:val="00655083"/>
    <w:rsid w:val="0065674E"/>
    <w:rsid w:val="00656844"/>
    <w:rsid w:val="00656889"/>
    <w:rsid w:val="00657F4D"/>
    <w:rsid w:val="00661E9C"/>
    <w:rsid w:val="006623C9"/>
    <w:rsid w:val="00663265"/>
    <w:rsid w:val="00663636"/>
    <w:rsid w:val="00666EA9"/>
    <w:rsid w:val="00673A12"/>
    <w:rsid w:val="00674190"/>
    <w:rsid w:val="00676072"/>
    <w:rsid w:val="006760E5"/>
    <w:rsid w:val="00676FE6"/>
    <w:rsid w:val="00684BAC"/>
    <w:rsid w:val="00684C64"/>
    <w:rsid w:val="00687AC1"/>
    <w:rsid w:val="006913C2"/>
    <w:rsid w:val="006918AB"/>
    <w:rsid w:val="00691D86"/>
    <w:rsid w:val="00692282"/>
    <w:rsid w:val="00692EC9"/>
    <w:rsid w:val="006958B1"/>
    <w:rsid w:val="00695C31"/>
    <w:rsid w:val="006970B7"/>
    <w:rsid w:val="006973E7"/>
    <w:rsid w:val="006A0ED4"/>
    <w:rsid w:val="006A1681"/>
    <w:rsid w:val="006A3705"/>
    <w:rsid w:val="006A54F6"/>
    <w:rsid w:val="006A73C0"/>
    <w:rsid w:val="006B0261"/>
    <w:rsid w:val="006B3705"/>
    <w:rsid w:val="006B450B"/>
    <w:rsid w:val="006B4663"/>
    <w:rsid w:val="006B4F45"/>
    <w:rsid w:val="006B5D20"/>
    <w:rsid w:val="006B6036"/>
    <w:rsid w:val="006B78AD"/>
    <w:rsid w:val="006C130A"/>
    <w:rsid w:val="006C2F0A"/>
    <w:rsid w:val="006C3AE4"/>
    <w:rsid w:val="006C3F63"/>
    <w:rsid w:val="006C4218"/>
    <w:rsid w:val="006C4F04"/>
    <w:rsid w:val="006C72A2"/>
    <w:rsid w:val="006C78A3"/>
    <w:rsid w:val="006D01A8"/>
    <w:rsid w:val="006D0366"/>
    <w:rsid w:val="006D237C"/>
    <w:rsid w:val="006D2CD1"/>
    <w:rsid w:val="006D3975"/>
    <w:rsid w:val="006D483F"/>
    <w:rsid w:val="006D592C"/>
    <w:rsid w:val="006D77DF"/>
    <w:rsid w:val="006D7E3B"/>
    <w:rsid w:val="006E10C1"/>
    <w:rsid w:val="006E1140"/>
    <w:rsid w:val="006E1490"/>
    <w:rsid w:val="006E483C"/>
    <w:rsid w:val="006E4F1E"/>
    <w:rsid w:val="006E76DE"/>
    <w:rsid w:val="006F09A9"/>
    <w:rsid w:val="006F18A0"/>
    <w:rsid w:val="006F3EEB"/>
    <w:rsid w:val="006F461B"/>
    <w:rsid w:val="006F4DA9"/>
    <w:rsid w:val="006F5EA1"/>
    <w:rsid w:val="006F668D"/>
    <w:rsid w:val="006F7DF3"/>
    <w:rsid w:val="00701DC9"/>
    <w:rsid w:val="007024FC"/>
    <w:rsid w:val="00703761"/>
    <w:rsid w:val="00703825"/>
    <w:rsid w:val="00705EE4"/>
    <w:rsid w:val="00706B3E"/>
    <w:rsid w:val="00707379"/>
    <w:rsid w:val="00710D4B"/>
    <w:rsid w:val="00712408"/>
    <w:rsid w:val="00713EA5"/>
    <w:rsid w:val="00714A04"/>
    <w:rsid w:val="00716F5E"/>
    <w:rsid w:val="007178E6"/>
    <w:rsid w:val="00717DF4"/>
    <w:rsid w:val="0072185D"/>
    <w:rsid w:val="00722A54"/>
    <w:rsid w:val="007234EF"/>
    <w:rsid w:val="00723A16"/>
    <w:rsid w:val="00724066"/>
    <w:rsid w:val="0072559F"/>
    <w:rsid w:val="00725883"/>
    <w:rsid w:val="00726D50"/>
    <w:rsid w:val="00727EA6"/>
    <w:rsid w:val="007304CD"/>
    <w:rsid w:val="00730EC3"/>
    <w:rsid w:val="00732650"/>
    <w:rsid w:val="0073521B"/>
    <w:rsid w:val="007357AE"/>
    <w:rsid w:val="00737D02"/>
    <w:rsid w:val="007422B0"/>
    <w:rsid w:val="0074241F"/>
    <w:rsid w:val="00742A08"/>
    <w:rsid w:val="00746516"/>
    <w:rsid w:val="00747D45"/>
    <w:rsid w:val="00750AD2"/>
    <w:rsid w:val="00752BBC"/>
    <w:rsid w:val="007545F9"/>
    <w:rsid w:val="00754A06"/>
    <w:rsid w:val="00755DC7"/>
    <w:rsid w:val="007570F6"/>
    <w:rsid w:val="00757D02"/>
    <w:rsid w:val="00761475"/>
    <w:rsid w:val="00761A84"/>
    <w:rsid w:val="007630BE"/>
    <w:rsid w:val="0076416E"/>
    <w:rsid w:val="00764221"/>
    <w:rsid w:val="00764D07"/>
    <w:rsid w:val="00766401"/>
    <w:rsid w:val="007708A3"/>
    <w:rsid w:val="00772011"/>
    <w:rsid w:val="007743C5"/>
    <w:rsid w:val="00775B25"/>
    <w:rsid w:val="00776618"/>
    <w:rsid w:val="007769E5"/>
    <w:rsid w:val="00776A76"/>
    <w:rsid w:val="00776D14"/>
    <w:rsid w:val="00777D3A"/>
    <w:rsid w:val="00780341"/>
    <w:rsid w:val="0078040F"/>
    <w:rsid w:val="00781903"/>
    <w:rsid w:val="00781E9F"/>
    <w:rsid w:val="00783B29"/>
    <w:rsid w:val="00784F10"/>
    <w:rsid w:val="00785A24"/>
    <w:rsid w:val="00790710"/>
    <w:rsid w:val="007924E6"/>
    <w:rsid w:val="007935AD"/>
    <w:rsid w:val="007939B0"/>
    <w:rsid w:val="007949EC"/>
    <w:rsid w:val="00794D81"/>
    <w:rsid w:val="00795592"/>
    <w:rsid w:val="007A3147"/>
    <w:rsid w:val="007A4C02"/>
    <w:rsid w:val="007A6D86"/>
    <w:rsid w:val="007B0376"/>
    <w:rsid w:val="007B0678"/>
    <w:rsid w:val="007B07D3"/>
    <w:rsid w:val="007B0F7A"/>
    <w:rsid w:val="007B1029"/>
    <w:rsid w:val="007B276B"/>
    <w:rsid w:val="007B302E"/>
    <w:rsid w:val="007B3656"/>
    <w:rsid w:val="007B3C65"/>
    <w:rsid w:val="007B48C0"/>
    <w:rsid w:val="007B5540"/>
    <w:rsid w:val="007C080C"/>
    <w:rsid w:val="007C09EC"/>
    <w:rsid w:val="007C0EAF"/>
    <w:rsid w:val="007C5A0A"/>
    <w:rsid w:val="007C6447"/>
    <w:rsid w:val="007D0C11"/>
    <w:rsid w:val="007D1632"/>
    <w:rsid w:val="007D1B8B"/>
    <w:rsid w:val="007D1FFB"/>
    <w:rsid w:val="007D3A35"/>
    <w:rsid w:val="007D3CAA"/>
    <w:rsid w:val="007D456C"/>
    <w:rsid w:val="007D5C05"/>
    <w:rsid w:val="007D60D8"/>
    <w:rsid w:val="007D67D7"/>
    <w:rsid w:val="007E0F3D"/>
    <w:rsid w:val="007E0FF4"/>
    <w:rsid w:val="007E3425"/>
    <w:rsid w:val="007E35FB"/>
    <w:rsid w:val="007E4C95"/>
    <w:rsid w:val="007E7FF2"/>
    <w:rsid w:val="007F3444"/>
    <w:rsid w:val="007F38AC"/>
    <w:rsid w:val="007F3CFE"/>
    <w:rsid w:val="007F4887"/>
    <w:rsid w:val="007F5B16"/>
    <w:rsid w:val="007F6341"/>
    <w:rsid w:val="007F73C2"/>
    <w:rsid w:val="007F7602"/>
    <w:rsid w:val="007F76CD"/>
    <w:rsid w:val="0080040C"/>
    <w:rsid w:val="00800A95"/>
    <w:rsid w:val="00801130"/>
    <w:rsid w:val="00801711"/>
    <w:rsid w:val="0080324C"/>
    <w:rsid w:val="00803F1F"/>
    <w:rsid w:val="00803F9A"/>
    <w:rsid w:val="008040BE"/>
    <w:rsid w:val="00805278"/>
    <w:rsid w:val="00806558"/>
    <w:rsid w:val="0080734E"/>
    <w:rsid w:val="00812348"/>
    <w:rsid w:val="00816570"/>
    <w:rsid w:val="0081688E"/>
    <w:rsid w:val="00816DC6"/>
    <w:rsid w:val="00817582"/>
    <w:rsid w:val="0082064E"/>
    <w:rsid w:val="00822364"/>
    <w:rsid w:val="00822633"/>
    <w:rsid w:val="008242E1"/>
    <w:rsid w:val="00824D22"/>
    <w:rsid w:val="00825B27"/>
    <w:rsid w:val="00826421"/>
    <w:rsid w:val="00830665"/>
    <w:rsid w:val="00831688"/>
    <w:rsid w:val="00832040"/>
    <w:rsid w:val="00832DE0"/>
    <w:rsid w:val="008343A2"/>
    <w:rsid w:val="00834477"/>
    <w:rsid w:val="00834D33"/>
    <w:rsid w:val="00834F57"/>
    <w:rsid w:val="00835445"/>
    <w:rsid w:val="0083645B"/>
    <w:rsid w:val="0084044B"/>
    <w:rsid w:val="00840C40"/>
    <w:rsid w:val="008411EA"/>
    <w:rsid w:val="00847F95"/>
    <w:rsid w:val="008504FB"/>
    <w:rsid w:val="00850DBB"/>
    <w:rsid w:val="00851891"/>
    <w:rsid w:val="008518E3"/>
    <w:rsid w:val="00851CCF"/>
    <w:rsid w:val="00853CC9"/>
    <w:rsid w:val="00854622"/>
    <w:rsid w:val="00854828"/>
    <w:rsid w:val="00855B3A"/>
    <w:rsid w:val="00857FA6"/>
    <w:rsid w:val="00860226"/>
    <w:rsid w:val="008655D4"/>
    <w:rsid w:val="00865F19"/>
    <w:rsid w:val="00866E69"/>
    <w:rsid w:val="00867955"/>
    <w:rsid w:val="00872208"/>
    <w:rsid w:val="008723CB"/>
    <w:rsid w:val="008741BE"/>
    <w:rsid w:val="00874743"/>
    <w:rsid w:val="00877AF3"/>
    <w:rsid w:val="00881F7C"/>
    <w:rsid w:val="00882818"/>
    <w:rsid w:val="0088323B"/>
    <w:rsid w:val="00884150"/>
    <w:rsid w:val="008846FA"/>
    <w:rsid w:val="00885248"/>
    <w:rsid w:val="00886112"/>
    <w:rsid w:val="0088646B"/>
    <w:rsid w:val="0088653B"/>
    <w:rsid w:val="00890ADA"/>
    <w:rsid w:val="00892B17"/>
    <w:rsid w:val="008930A0"/>
    <w:rsid w:val="0089505B"/>
    <w:rsid w:val="008952D6"/>
    <w:rsid w:val="00895BEE"/>
    <w:rsid w:val="00896800"/>
    <w:rsid w:val="008A0558"/>
    <w:rsid w:val="008A19FD"/>
    <w:rsid w:val="008A29FC"/>
    <w:rsid w:val="008A604F"/>
    <w:rsid w:val="008B066F"/>
    <w:rsid w:val="008B141B"/>
    <w:rsid w:val="008B3943"/>
    <w:rsid w:val="008B395D"/>
    <w:rsid w:val="008B4042"/>
    <w:rsid w:val="008B470A"/>
    <w:rsid w:val="008B4844"/>
    <w:rsid w:val="008B50E8"/>
    <w:rsid w:val="008B5568"/>
    <w:rsid w:val="008B5F5A"/>
    <w:rsid w:val="008C28D1"/>
    <w:rsid w:val="008C2E13"/>
    <w:rsid w:val="008C357E"/>
    <w:rsid w:val="008C3E42"/>
    <w:rsid w:val="008C40FA"/>
    <w:rsid w:val="008C440A"/>
    <w:rsid w:val="008C5248"/>
    <w:rsid w:val="008C5725"/>
    <w:rsid w:val="008C74F5"/>
    <w:rsid w:val="008D088A"/>
    <w:rsid w:val="008D11A6"/>
    <w:rsid w:val="008D24F2"/>
    <w:rsid w:val="008D3556"/>
    <w:rsid w:val="008D3988"/>
    <w:rsid w:val="008D4464"/>
    <w:rsid w:val="008D49A0"/>
    <w:rsid w:val="008D4A14"/>
    <w:rsid w:val="008D4B4B"/>
    <w:rsid w:val="008D4CA8"/>
    <w:rsid w:val="008D6BB7"/>
    <w:rsid w:val="008E0C55"/>
    <w:rsid w:val="008E19B0"/>
    <w:rsid w:val="008E1AE1"/>
    <w:rsid w:val="008E39F1"/>
    <w:rsid w:val="008E553A"/>
    <w:rsid w:val="008E7BF0"/>
    <w:rsid w:val="008F0A44"/>
    <w:rsid w:val="008F157F"/>
    <w:rsid w:val="008F2CCC"/>
    <w:rsid w:val="008F6C82"/>
    <w:rsid w:val="008F6D54"/>
    <w:rsid w:val="009006F2"/>
    <w:rsid w:val="00901EEA"/>
    <w:rsid w:val="0090225F"/>
    <w:rsid w:val="009022EC"/>
    <w:rsid w:val="009039B7"/>
    <w:rsid w:val="00904014"/>
    <w:rsid w:val="009052D1"/>
    <w:rsid w:val="00905B82"/>
    <w:rsid w:val="009063DD"/>
    <w:rsid w:val="00906C1D"/>
    <w:rsid w:val="00907041"/>
    <w:rsid w:val="00907925"/>
    <w:rsid w:val="0090796B"/>
    <w:rsid w:val="00907E95"/>
    <w:rsid w:val="0091063E"/>
    <w:rsid w:val="0091341B"/>
    <w:rsid w:val="009136D1"/>
    <w:rsid w:val="009136EC"/>
    <w:rsid w:val="0091394A"/>
    <w:rsid w:val="00913AF3"/>
    <w:rsid w:val="00914584"/>
    <w:rsid w:val="009158DD"/>
    <w:rsid w:val="00915935"/>
    <w:rsid w:val="00915BE3"/>
    <w:rsid w:val="0091681B"/>
    <w:rsid w:val="00920167"/>
    <w:rsid w:val="00920312"/>
    <w:rsid w:val="00921510"/>
    <w:rsid w:val="00921551"/>
    <w:rsid w:val="00922B38"/>
    <w:rsid w:val="00923CA3"/>
    <w:rsid w:val="00924117"/>
    <w:rsid w:val="0092661A"/>
    <w:rsid w:val="009307AE"/>
    <w:rsid w:val="009321B1"/>
    <w:rsid w:val="00935FEE"/>
    <w:rsid w:val="00940615"/>
    <w:rsid w:val="00940A2B"/>
    <w:rsid w:val="00943105"/>
    <w:rsid w:val="00943340"/>
    <w:rsid w:val="0094652C"/>
    <w:rsid w:val="00947A30"/>
    <w:rsid w:val="00947C8A"/>
    <w:rsid w:val="00947EB5"/>
    <w:rsid w:val="00947FC1"/>
    <w:rsid w:val="009508E5"/>
    <w:rsid w:val="00950AE6"/>
    <w:rsid w:val="00950E6F"/>
    <w:rsid w:val="00956640"/>
    <w:rsid w:val="00957FA7"/>
    <w:rsid w:val="00957FE6"/>
    <w:rsid w:val="00962654"/>
    <w:rsid w:val="009627D4"/>
    <w:rsid w:val="00965CE9"/>
    <w:rsid w:val="00966304"/>
    <w:rsid w:val="00972B49"/>
    <w:rsid w:val="00973916"/>
    <w:rsid w:val="0097459C"/>
    <w:rsid w:val="00974888"/>
    <w:rsid w:val="00974FF4"/>
    <w:rsid w:val="009758C4"/>
    <w:rsid w:val="00977BA8"/>
    <w:rsid w:val="0098046F"/>
    <w:rsid w:val="0098103A"/>
    <w:rsid w:val="00982783"/>
    <w:rsid w:val="009828DC"/>
    <w:rsid w:val="00983104"/>
    <w:rsid w:val="00984672"/>
    <w:rsid w:val="00984D14"/>
    <w:rsid w:val="0098549D"/>
    <w:rsid w:val="0098669C"/>
    <w:rsid w:val="00986F6B"/>
    <w:rsid w:val="00991C2F"/>
    <w:rsid w:val="009925FE"/>
    <w:rsid w:val="00993F2D"/>
    <w:rsid w:val="0099461D"/>
    <w:rsid w:val="00994671"/>
    <w:rsid w:val="009951EE"/>
    <w:rsid w:val="00997BF8"/>
    <w:rsid w:val="009A1667"/>
    <w:rsid w:val="009A185E"/>
    <w:rsid w:val="009A2B87"/>
    <w:rsid w:val="009A44C3"/>
    <w:rsid w:val="009A6EC1"/>
    <w:rsid w:val="009B0939"/>
    <w:rsid w:val="009B109B"/>
    <w:rsid w:val="009B2982"/>
    <w:rsid w:val="009B36F9"/>
    <w:rsid w:val="009B55A6"/>
    <w:rsid w:val="009B5A79"/>
    <w:rsid w:val="009B5F2D"/>
    <w:rsid w:val="009B5F2F"/>
    <w:rsid w:val="009B6C6F"/>
    <w:rsid w:val="009B705F"/>
    <w:rsid w:val="009B781A"/>
    <w:rsid w:val="009B7EEB"/>
    <w:rsid w:val="009C113E"/>
    <w:rsid w:val="009C189E"/>
    <w:rsid w:val="009D0072"/>
    <w:rsid w:val="009D1BD2"/>
    <w:rsid w:val="009D37F5"/>
    <w:rsid w:val="009D645B"/>
    <w:rsid w:val="009D703D"/>
    <w:rsid w:val="009E27B7"/>
    <w:rsid w:val="009E33EC"/>
    <w:rsid w:val="009E3C08"/>
    <w:rsid w:val="009E57C9"/>
    <w:rsid w:val="009E5856"/>
    <w:rsid w:val="009E66A1"/>
    <w:rsid w:val="009E6ED7"/>
    <w:rsid w:val="009E6FE0"/>
    <w:rsid w:val="009E790C"/>
    <w:rsid w:val="009F0463"/>
    <w:rsid w:val="009F0E63"/>
    <w:rsid w:val="009F29EA"/>
    <w:rsid w:val="009F5A8F"/>
    <w:rsid w:val="009F67A4"/>
    <w:rsid w:val="009F6B65"/>
    <w:rsid w:val="00A0089E"/>
    <w:rsid w:val="00A01197"/>
    <w:rsid w:val="00A02AE6"/>
    <w:rsid w:val="00A04433"/>
    <w:rsid w:val="00A05781"/>
    <w:rsid w:val="00A0637A"/>
    <w:rsid w:val="00A10B0D"/>
    <w:rsid w:val="00A12D41"/>
    <w:rsid w:val="00A1317B"/>
    <w:rsid w:val="00A1397B"/>
    <w:rsid w:val="00A147CD"/>
    <w:rsid w:val="00A1711D"/>
    <w:rsid w:val="00A20B9B"/>
    <w:rsid w:val="00A21788"/>
    <w:rsid w:val="00A23F1C"/>
    <w:rsid w:val="00A24314"/>
    <w:rsid w:val="00A247EF"/>
    <w:rsid w:val="00A25E16"/>
    <w:rsid w:val="00A26FC4"/>
    <w:rsid w:val="00A3005D"/>
    <w:rsid w:val="00A30438"/>
    <w:rsid w:val="00A32B12"/>
    <w:rsid w:val="00A32CCF"/>
    <w:rsid w:val="00A339A2"/>
    <w:rsid w:val="00A34CA7"/>
    <w:rsid w:val="00A34EE8"/>
    <w:rsid w:val="00A364B7"/>
    <w:rsid w:val="00A375D1"/>
    <w:rsid w:val="00A42E72"/>
    <w:rsid w:val="00A42F6C"/>
    <w:rsid w:val="00A43D48"/>
    <w:rsid w:val="00A445AF"/>
    <w:rsid w:val="00A44DFF"/>
    <w:rsid w:val="00A4686E"/>
    <w:rsid w:val="00A46986"/>
    <w:rsid w:val="00A50BD6"/>
    <w:rsid w:val="00A51050"/>
    <w:rsid w:val="00A52B85"/>
    <w:rsid w:val="00A52EC1"/>
    <w:rsid w:val="00A5446A"/>
    <w:rsid w:val="00A5663A"/>
    <w:rsid w:val="00A5722F"/>
    <w:rsid w:val="00A608EB"/>
    <w:rsid w:val="00A609EC"/>
    <w:rsid w:val="00A62422"/>
    <w:rsid w:val="00A62C6B"/>
    <w:rsid w:val="00A6399E"/>
    <w:rsid w:val="00A676E3"/>
    <w:rsid w:val="00A67B26"/>
    <w:rsid w:val="00A703DA"/>
    <w:rsid w:val="00A70B2B"/>
    <w:rsid w:val="00A712FC"/>
    <w:rsid w:val="00A713D9"/>
    <w:rsid w:val="00A71F61"/>
    <w:rsid w:val="00A73A45"/>
    <w:rsid w:val="00A74F9C"/>
    <w:rsid w:val="00A75124"/>
    <w:rsid w:val="00A770BC"/>
    <w:rsid w:val="00A77BD6"/>
    <w:rsid w:val="00A811CE"/>
    <w:rsid w:val="00A8149B"/>
    <w:rsid w:val="00A816DD"/>
    <w:rsid w:val="00A81B17"/>
    <w:rsid w:val="00A82210"/>
    <w:rsid w:val="00A82573"/>
    <w:rsid w:val="00A83941"/>
    <w:rsid w:val="00A867E2"/>
    <w:rsid w:val="00A87D6A"/>
    <w:rsid w:val="00A90802"/>
    <w:rsid w:val="00A908A7"/>
    <w:rsid w:val="00A9157F"/>
    <w:rsid w:val="00A9212D"/>
    <w:rsid w:val="00A93F60"/>
    <w:rsid w:val="00A957C4"/>
    <w:rsid w:val="00A96743"/>
    <w:rsid w:val="00A96D26"/>
    <w:rsid w:val="00A97C44"/>
    <w:rsid w:val="00A97C82"/>
    <w:rsid w:val="00AA045B"/>
    <w:rsid w:val="00AA1F91"/>
    <w:rsid w:val="00AA214F"/>
    <w:rsid w:val="00AA3280"/>
    <w:rsid w:val="00AA338C"/>
    <w:rsid w:val="00AA5933"/>
    <w:rsid w:val="00AA5F1C"/>
    <w:rsid w:val="00AA75D4"/>
    <w:rsid w:val="00AB0526"/>
    <w:rsid w:val="00AB0589"/>
    <w:rsid w:val="00AB0E8A"/>
    <w:rsid w:val="00AB1CBE"/>
    <w:rsid w:val="00AB4603"/>
    <w:rsid w:val="00AB6918"/>
    <w:rsid w:val="00AC0E8A"/>
    <w:rsid w:val="00AC1378"/>
    <w:rsid w:val="00AC1908"/>
    <w:rsid w:val="00AC41F0"/>
    <w:rsid w:val="00AD023B"/>
    <w:rsid w:val="00AD16CC"/>
    <w:rsid w:val="00AD1A46"/>
    <w:rsid w:val="00AD2129"/>
    <w:rsid w:val="00AD2672"/>
    <w:rsid w:val="00AD3891"/>
    <w:rsid w:val="00AD4542"/>
    <w:rsid w:val="00AE1B0C"/>
    <w:rsid w:val="00AE2813"/>
    <w:rsid w:val="00AE29E2"/>
    <w:rsid w:val="00AE364C"/>
    <w:rsid w:val="00AE4590"/>
    <w:rsid w:val="00AE50D5"/>
    <w:rsid w:val="00AE7552"/>
    <w:rsid w:val="00AE758B"/>
    <w:rsid w:val="00AF2E4A"/>
    <w:rsid w:val="00AF3147"/>
    <w:rsid w:val="00AF3AD4"/>
    <w:rsid w:val="00AF5095"/>
    <w:rsid w:val="00AF536A"/>
    <w:rsid w:val="00AF5895"/>
    <w:rsid w:val="00AF5FA3"/>
    <w:rsid w:val="00B000AA"/>
    <w:rsid w:val="00B008AD"/>
    <w:rsid w:val="00B038BC"/>
    <w:rsid w:val="00B05ECB"/>
    <w:rsid w:val="00B11AB0"/>
    <w:rsid w:val="00B1271E"/>
    <w:rsid w:val="00B12D51"/>
    <w:rsid w:val="00B15243"/>
    <w:rsid w:val="00B1665D"/>
    <w:rsid w:val="00B16CDC"/>
    <w:rsid w:val="00B171FE"/>
    <w:rsid w:val="00B17BA0"/>
    <w:rsid w:val="00B20E71"/>
    <w:rsid w:val="00B226BD"/>
    <w:rsid w:val="00B24542"/>
    <w:rsid w:val="00B31298"/>
    <w:rsid w:val="00B325BA"/>
    <w:rsid w:val="00B33CB5"/>
    <w:rsid w:val="00B358C3"/>
    <w:rsid w:val="00B372A8"/>
    <w:rsid w:val="00B4010B"/>
    <w:rsid w:val="00B425D0"/>
    <w:rsid w:val="00B44814"/>
    <w:rsid w:val="00B44CCF"/>
    <w:rsid w:val="00B4554B"/>
    <w:rsid w:val="00B50EE7"/>
    <w:rsid w:val="00B510F4"/>
    <w:rsid w:val="00B51E88"/>
    <w:rsid w:val="00B55307"/>
    <w:rsid w:val="00B603C6"/>
    <w:rsid w:val="00B606ED"/>
    <w:rsid w:val="00B60B6F"/>
    <w:rsid w:val="00B6164D"/>
    <w:rsid w:val="00B61736"/>
    <w:rsid w:val="00B64288"/>
    <w:rsid w:val="00B6642F"/>
    <w:rsid w:val="00B66D08"/>
    <w:rsid w:val="00B67195"/>
    <w:rsid w:val="00B70189"/>
    <w:rsid w:val="00B714A0"/>
    <w:rsid w:val="00B744FB"/>
    <w:rsid w:val="00B74A27"/>
    <w:rsid w:val="00B74AE8"/>
    <w:rsid w:val="00B74F37"/>
    <w:rsid w:val="00B750D0"/>
    <w:rsid w:val="00B75F2F"/>
    <w:rsid w:val="00B77413"/>
    <w:rsid w:val="00B803A0"/>
    <w:rsid w:val="00B808FC"/>
    <w:rsid w:val="00B81557"/>
    <w:rsid w:val="00B817A0"/>
    <w:rsid w:val="00B8189D"/>
    <w:rsid w:val="00B81BE6"/>
    <w:rsid w:val="00B81DFA"/>
    <w:rsid w:val="00B83660"/>
    <w:rsid w:val="00B85315"/>
    <w:rsid w:val="00B875BC"/>
    <w:rsid w:val="00B8778A"/>
    <w:rsid w:val="00B87C81"/>
    <w:rsid w:val="00B90324"/>
    <w:rsid w:val="00B909CB"/>
    <w:rsid w:val="00B90B1C"/>
    <w:rsid w:val="00B90E18"/>
    <w:rsid w:val="00B916BB"/>
    <w:rsid w:val="00B918A8"/>
    <w:rsid w:val="00B92EE1"/>
    <w:rsid w:val="00B94009"/>
    <w:rsid w:val="00B965F1"/>
    <w:rsid w:val="00B97816"/>
    <w:rsid w:val="00BA05BE"/>
    <w:rsid w:val="00BA1679"/>
    <w:rsid w:val="00BA2DA7"/>
    <w:rsid w:val="00BA353E"/>
    <w:rsid w:val="00BA3D61"/>
    <w:rsid w:val="00BA41FF"/>
    <w:rsid w:val="00BA4724"/>
    <w:rsid w:val="00BA4C32"/>
    <w:rsid w:val="00BA5047"/>
    <w:rsid w:val="00BA631B"/>
    <w:rsid w:val="00BB090C"/>
    <w:rsid w:val="00BB1337"/>
    <w:rsid w:val="00BB2201"/>
    <w:rsid w:val="00BB2E83"/>
    <w:rsid w:val="00BB3FC6"/>
    <w:rsid w:val="00BB422B"/>
    <w:rsid w:val="00BB589D"/>
    <w:rsid w:val="00BB6891"/>
    <w:rsid w:val="00BB6D82"/>
    <w:rsid w:val="00BB7095"/>
    <w:rsid w:val="00BC0F21"/>
    <w:rsid w:val="00BC159D"/>
    <w:rsid w:val="00BC47D1"/>
    <w:rsid w:val="00BC5A06"/>
    <w:rsid w:val="00BC6B8A"/>
    <w:rsid w:val="00BD00CD"/>
    <w:rsid w:val="00BD17DF"/>
    <w:rsid w:val="00BD2ECB"/>
    <w:rsid w:val="00BD3E88"/>
    <w:rsid w:val="00BD4E88"/>
    <w:rsid w:val="00BD55CA"/>
    <w:rsid w:val="00BD6014"/>
    <w:rsid w:val="00BE0DA4"/>
    <w:rsid w:val="00BE0DAB"/>
    <w:rsid w:val="00BE12BE"/>
    <w:rsid w:val="00BE32D0"/>
    <w:rsid w:val="00BE391D"/>
    <w:rsid w:val="00BE3C6A"/>
    <w:rsid w:val="00BE5E4F"/>
    <w:rsid w:val="00BE6E33"/>
    <w:rsid w:val="00BE7DF2"/>
    <w:rsid w:val="00BF02AC"/>
    <w:rsid w:val="00BF3319"/>
    <w:rsid w:val="00BF3396"/>
    <w:rsid w:val="00BF42AD"/>
    <w:rsid w:val="00BF47E0"/>
    <w:rsid w:val="00BF53A6"/>
    <w:rsid w:val="00BF757D"/>
    <w:rsid w:val="00BF7F90"/>
    <w:rsid w:val="00C00DC7"/>
    <w:rsid w:val="00C0326F"/>
    <w:rsid w:val="00C03C5B"/>
    <w:rsid w:val="00C04293"/>
    <w:rsid w:val="00C05339"/>
    <w:rsid w:val="00C0556F"/>
    <w:rsid w:val="00C05644"/>
    <w:rsid w:val="00C057DA"/>
    <w:rsid w:val="00C079F0"/>
    <w:rsid w:val="00C1016D"/>
    <w:rsid w:val="00C10DD4"/>
    <w:rsid w:val="00C124D2"/>
    <w:rsid w:val="00C12812"/>
    <w:rsid w:val="00C136F8"/>
    <w:rsid w:val="00C13A71"/>
    <w:rsid w:val="00C1436A"/>
    <w:rsid w:val="00C16557"/>
    <w:rsid w:val="00C16B7C"/>
    <w:rsid w:val="00C178BC"/>
    <w:rsid w:val="00C20D24"/>
    <w:rsid w:val="00C21130"/>
    <w:rsid w:val="00C212F5"/>
    <w:rsid w:val="00C2143D"/>
    <w:rsid w:val="00C23BF5"/>
    <w:rsid w:val="00C247FF"/>
    <w:rsid w:val="00C25BB0"/>
    <w:rsid w:val="00C25EF3"/>
    <w:rsid w:val="00C26426"/>
    <w:rsid w:val="00C27D3B"/>
    <w:rsid w:val="00C307F2"/>
    <w:rsid w:val="00C30F49"/>
    <w:rsid w:val="00C314D3"/>
    <w:rsid w:val="00C31646"/>
    <w:rsid w:val="00C34D9C"/>
    <w:rsid w:val="00C351C5"/>
    <w:rsid w:val="00C35973"/>
    <w:rsid w:val="00C3597D"/>
    <w:rsid w:val="00C361B0"/>
    <w:rsid w:val="00C378B2"/>
    <w:rsid w:val="00C405F8"/>
    <w:rsid w:val="00C40B38"/>
    <w:rsid w:val="00C411CA"/>
    <w:rsid w:val="00C41FEA"/>
    <w:rsid w:val="00C43D1F"/>
    <w:rsid w:val="00C44447"/>
    <w:rsid w:val="00C4563D"/>
    <w:rsid w:val="00C45CE3"/>
    <w:rsid w:val="00C51B5F"/>
    <w:rsid w:val="00C527E7"/>
    <w:rsid w:val="00C54D47"/>
    <w:rsid w:val="00C554DF"/>
    <w:rsid w:val="00C555AE"/>
    <w:rsid w:val="00C574FB"/>
    <w:rsid w:val="00C57544"/>
    <w:rsid w:val="00C602EA"/>
    <w:rsid w:val="00C607FA"/>
    <w:rsid w:val="00C619BC"/>
    <w:rsid w:val="00C63396"/>
    <w:rsid w:val="00C6742A"/>
    <w:rsid w:val="00C70BFE"/>
    <w:rsid w:val="00C7110F"/>
    <w:rsid w:val="00C7190A"/>
    <w:rsid w:val="00C71DC6"/>
    <w:rsid w:val="00C71FBB"/>
    <w:rsid w:val="00C74F56"/>
    <w:rsid w:val="00C751C4"/>
    <w:rsid w:val="00C75A59"/>
    <w:rsid w:val="00C77FCB"/>
    <w:rsid w:val="00C81648"/>
    <w:rsid w:val="00C81759"/>
    <w:rsid w:val="00C81843"/>
    <w:rsid w:val="00C81B38"/>
    <w:rsid w:val="00C82AC7"/>
    <w:rsid w:val="00C82F57"/>
    <w:rsid w:val="00C83327"/>
    <w:rsid w:val="00C8366B"/>
    <w:rsid w:val="00C86409"/>
    <w:rsid w:val="00C87470"/>
    <w:rsid w:val="00C87A06"/>
    <w:rsid w:val="00C90286"/>
    <w:rsid w:val="00C9099F"/>
    <w:rsid w:val="00C90A1A"/>
    <w:rsid w:val="00C9177E"/>
    <w:rsid w:val="00C95F4D"/>
    <w:rsid w:val="00CA11C7"/>
    <w:rsid w:val="00CA436F"/>
    <w:rsid w:val="00CA4501"/>
    <w:rsid w:val="00CA73BD"/>
    <w:rsid w:val="00CB5041"/>
    <w:rsid w:val="00CB60CF"/>
    <w:rsid w:val="00CC02F2"/>
    <w:rsid w:val="00CC0B1D"/>
    <w:rsid w:val="00CC1794"/>
    <w:rsid w:val="00CC1F17"/>
    <w:rsid w:val="00CC364C"/>
    <w:rsid w:val="00CC4E3E"/>
    <w:rsid w:val="00CC56EE"/>
    <w:rsid w:val="00CC5B93"/>
    <w:rsid w:val="00CC6BF1"/>
    <w:rsid w:val="00CC7E3A"/>
    <w:rsid w:val="00CD0090"/>
    <w:rsid w:val="00CD1EA1"/>
    <w:rsid w:val="00CD1EBD"/>
    <w:rsid w:val="00CD315F"/>
    <w:rsid w:val="00CD331C"/>
    <w:rsid w:val="00CD4392"/>
    <w:rsid w:val="00CD491C"/>
    <w:rsid w:val="00CD6AD4"/>
    <w:rsid w:val="00CD6CDE"/>
    <w:rsid w:val="00CD73DD"/>
    <w:rsid w:val="00CE196A"/>
    <w:rsid w:val="00CE19EC"/>
    <w:rsid w:val="00CE2807"/>
    <w:rsid w:val="00CE2895"/>
    <w:rsid w:val="00CE4F43"/>
    <w:rsid w:val="00CE5AF7"/>
    <w:rsid w:val="00CE5EFE"/>
    <w:rsid w:val="00CE6879"/>
    <w:rsid w:val="00CE70E2"/>
    <w:rsid w:val="00CE7F9A"/>
    <w:rsid w:val="00CF0DE2"/>
    <w:rsid w:val="00CF1968"/>
    <w:rsid w:val="00CF237B"/>
    <w:rsid w:val="00CF27BE"/>
    <w:rsid w:val="00CF2879"/>
    <w:rsid w:val="00CF289D"/>
    <w:rsid w:val="00CF34EF"/>
    <w:rsid w:val="00CF3E87"/>
    <w:rsid w:val="00CF6B37"/>
    <w:rsid w:val="00CF706E"/>
    <w:rsid w:val="00D00F2E"/>
    <w:rsid w:val="00D00FAE"/>
    <w:rsid w:val="00D017C5"/>
    <w:rsid w:val="00D03962"/>
    <w:rsid w:val="00D0456D"/>
    <w:rsid w:val="00D04719"/>
    <w:rsid w:val="00D05246"/>
    <w:rsid w:val="00D054E1"/>
    <w:rsid w:val="00D05970"/>
    <w:rsid w:val="00D05BC7"/>
    <w:rsid w:val="00D07E44"/>
    <w:rsid w:val="00D11FEC"/>
    <w:rsid w:val="00D1235F"/>
    <w:rsid w:val="00D129FA"/>
    <w:rsid w:val="00D12B30"/>
    <w:rsid w:val="00D12DD6"/>
    <w:rsid w:val="00D12F8F"/>
    <w:rsid w:val="00D146AE"/>
    <w:rsid w:val="00D272A0"/>
    <w:rsid w:val="00D31930"/>
    <w:rsid w:val="00D31EB1"/>
    <w:rsid w:val="00D35B24"/>
    <w:rsid w:val="00D35EC2"/>
    <w:rsid w:val="00D370D8"/>
    <w:rsid w:val="00D42B2A"/>
    <w:rsid w:val="00D439E3"/>
    <w:rsid w:val="00D452DB"/>
    <w:rsid w:val="00D4562C"/>
    <w:rsid w:val="00D46636"/>
    <w:rsid w:val="00D50B91"/>
    <w:rsid w:val="00D5243C"/>
    <w:rsid w:val="00D52973"/>
    <w:rsid w:val="00D53B13"/>
    <w:rsid w:val="00D54AAF"/>
    <w:rsid w:val="00D5747E"/>
    <w:rsid w:val="00D64394"/>
    <w:rsid w:val="00D64A71"/>
    <w:rsid w:val="00D64B3C"/>
    <w:rsid w:val="00D666F1"/>
    <w:rsid w:val="00D67158"/>
    <w:rsid w:val="00D677CF"/>
    <w:rsid w:val="00D70C23"/>
    <w:rsid w:val="00D71077"/>
    <w:rsid w:val="00D71A01"/>
    <w:rsid w:val="00D72010"/>
    <w:rsid w:val="00D73843"/>
    <w:rsid w:val="00D73B98"/>
    <w:rsid w:val="00D7476C"/>
    <w:rsid w:val="00D76A91"/>
    <w:rsid w:val="00D77AAC"/>
    <w:rsid w:val="00D80120"/>
    <w:rsid w:val="00D80165"/>
    <w:rsid w:val="00D8116C"/>
    <w:rsid w:val="00D838C4"/>
    <w:rsid w:val="00D860FA"/>
    <w:rsid w:val="00D86501"/>
    <w:rsid w:val="00D86BE7"/>
    <w:rsid w:val="00D8720D"/>
    <w:rsid w:val="00D87596"/>
    <w:rsid w:val="00D87644"/>
    <w:rsid w:val="00D9182E"/>
    <w:rsid w:val="00D918A0"/>
    <w:rsid w:val="00D91AFD"/>
    <w:rsid w:val="00D93888"/>
    <w:rsid w:val="00D95264"/>
    <w:rsid w:val="00D955D8"/>
    <w:rsid w:val="00D95ACD"/>
    <w:rsid w:val="00D96BE3"/>
    <w:rsid w:val="00D96D8A"/>
    <w:rsid w:val="00DA2F87"/>
    <w:rsid w:val="00DA3900"/>
    <w:rsid w:val="00DA4FE7"/>
    <w:rsid w:val="00DA62D2"/>
    <w:rsid w:val="00DA648C"/>
    <w:rsid w:val="00DA6A06"/>
    <w:rsid w:val="00DA79BC"/>
    <w:rsid w:val="00DB21AD"/>
    <w:rsid w:val="00DB2F35"/>
    <w:rsid w:val="00DB5933"/>
    <w:rsid w:val="00DC1088"/>
    <w:rsid w:val="00DC11E7"/>
    <w:rsid w:val="00DC18A9"/>
    <w:rsid w:val="00DC31C8"/>
    <w:rsid w:val="00DC3361"/>
    <w:rsid w:val="00DC3749"/>
    <w:rsid w:val="00DC37A3"/>
    <w:rsid w:val="00DC4468"/>
    <w:rsid w:val="00DC5B53"/>
    <w:rsid w:val="00DC5FDC"/>
    <w:rsid w:val="00DC73D8"/>
    <w:rsid w:val="00DD0941"/>
    <w:rsid w:val="00DD1A4A"/>
    <w:rsid w:val="00DD26B3"/>
    <w:rsid w:val="00DD3356"/>
    <w:rsid w:val="00DD405C"/>
    <w:rsid w:val="00DD76F4"/>
    <w:rsid w:val="00DE18EB"/>
    <w:rsid w:val="00DE2C28"/>
    <w:rsid w:val="00DE3A5B"/>
    <w:rsid w:val="00DE4876"/>
    <w:rsid w:val="00DE6456"/>
    <w:rsid w:val="00DE6D21"/>
    <w:rsid w:val="00DF052E"/>
    <w:rsid w:val="00DF0887"/>
    <w:rsid w:val="00DF14AB"/>
    <w:rsid w:val="00DF1F75"/>
    <w:rsid w:val="00DF2BD9"/>
    <w:rsid w:val="00DF38AF"/>
    <w:rsid w:val="00DF42B4"/>
    <w:rsid w:val="00DF4593"/>
    <w:rsid w:val="00DF4EC9"/>
    <w:rsid w:val="00DF5BCB"/>
    <w:rsid w:val="00E0369E"/>
    <w:rsid w:val="00E03AE2"/>
    <w:rsid w:val="00E056D1"/>
    <w:rsid w:val="00E05BDE"/>
    <w:rsid w:val="00E07DD7"/>
    <w:rsid w:val="00E10646"/>
    <w:rsid w:val="00E11111"/>
    <w:rsid w:val="00E112E8"/>
    <w:rsid w:val="00E11707"/>
    <w:rsid w:val="00E13FE0"/>
    <w:rsid w:val="00E14ACF"/>
    <w:rsid w:val="00E14AFB"/>
    <w:rsid w:val="00E1550D"/>
    <w:rsid w:val="00E15C28"/>
    <w:rsid w:val="00E160BD"/>
    <w:rsid w:val="00E20EB8"/>
    <w:rsid w:val="00E23C28"/>
    <w:rsid w:val="00E2428D"/>
    <w:rsid w:val="00E2474D"/>
    <w:rsid w:val="00E24FC7"/>
    <w:rsid w:val="00E25EEC"/>
    <w:rsid w:val="00E26243"/>
    <w:rsid w:val="00E275C8"/>
    <w:rsid w:val="00E27B3A"/>
    <w:rsid w:val="00E305F2"/>
    <w:rsid w:val="00E30D7F"/>
    <w:rsid w:val="00E3179A"/>
    <w:rsid w:val="00E31EFC"/>
    <w:rsid w:val="00E330AA"/>
    <w:rsid w:val="00E330CF"/>
    <w:rsid w:val="00E334C4"/>
    <w:rsid w:val="00E36625"/>
    <w:rsid w:val="00E367D1"/>
    <w:rsid w:val="00E40325"/>
    <w:rsid w:val="00E404CB"/>
    <w:rsid w:val="00E41A5E"/>
    <w:rsid w:val="00E514C8"/>
    <w:rsid w:val="00E52634"/>
    <w:rsid w:val="00E52D50"/>
    <w:rsid w:val="00E558BC"/>
    <w:rsid w:val="00E56720"/>
    <w:rsid w:val="00E61039"/>
    <w:rsid w:val="00E6108D"/>
    <w:rsid w:val="00E622C1"/>
    <w:rsid w:val="00E63C9C"/>
    <w:rsid w:val="00E63E5D"/>
    <w:rsid w:val="00E64956"/>
    <w:rsid w:val="00E6592F"/>
    <w:rsid w:val="00E67B8D"/>
    <w:rsid w:val="00E707E3"/>
    <w:rsid w:val="00E70B3F"/>
    <w:rsid w:val="00E70D6C"/>
    <w:rsid w:val="00E71211"/>
    <w:rsid w:val="00E716ED"/>
    <w:rsid w:val="00E71D3A"/>
    <w:rsid w:val="00E7436A"/>
    <w:rsid w:val="00E74D7E"/>
    <w:rsid w:val="00E7539D"/>
    <w:rsid w:val="00E75AAF"/>
    <w:rsid w:val="00E76669"/>
    <w:rsid w:val="00E7679A"/>
    <w:rsid w:val="00E772F5"/>
    <w:rsid w:val="00E80514"/>
    <w:rsid w:val="00E80CC8"/>
    <w:rsid w:val="00E81451"/>
    <w:rsid w:val="00E814DB"/>
    <w:rsid w:val="00E8470E"/>
    <w:rsid w:val="00E84DB1"/>
    <w:rsid w:val="00E8581B"/>
    <w:rsid w:val="00E858D8"/>
    <w:rsid w:val="00E87CB9"/>
    <w:rsid w:val="00E9204D"/>
    <w:rsid w:val="00E92E53"/>
    <w:rsid w:val="00E935AC"/>
    <w:rsid w:val="00E94084"/>
    <w:rsid w:val="00E94511"/>
    <w:rsid w:val="00E9576A"/>
    <w:rsid w:val="00E95FDD"/>
    <w:rsid w:val="00E97F6E"/>
    <w:rsid w:val="00EA04D9"/>
    <w:rsid w:val="00EA3F0E"/>
    <w:rsid w:val="00EA76D8"/>
    <w:rsid w:val="00EB2543"/>
    <w:rsid w:val="00EB2A50"/>
    <w:rsid w:val="00EB2A60"/>
    <w:rsid w:val="00EB48A3"/>
    <w:rsid w:val="00EB4E62"/>
    <w:rsid w:val="00EB5A59"/>
    <w:rsid w:val="00EB5F08"/>
    <w:rsid w:val="00EB7268"/>
    <w:rsid w:val="00EC1DCF"/>
    <w:rsid w:val="00EC26BC"/>
    <w:rsid w:val="00EC3C9F"/>
    <w:rsid w:val="00ED2E37"/>
    <w:rsid w:val="00ED43B9"/>
    <w:rsid w:val="00ED5439"/>
    <w:rsid w:val="00ED658A"/>
    <w:rsid w:val="00ED7288"/>
    <w:rsid w:val="00EE1788"/>
    <w:rsid w:val="00EE1E1B"/>
    <w:rsid w:val="00EE328B"/>
    <w:rsid w:val="00EE4B22"/>
    <w:rsid w:val="00EE5B75"/>
    <w:rsid w:val="00EF1FA9"/>
    <w:rsid w:val="00EF383C"/>
    <w:rsid w:val="00EF583D"/>
    <w:rsid w:val="00EF5B30"/>
    <w:rsid w:val="00EF7B85"/>
    <w:rsid w:val="00F0016A"/>
    <w:rsid w:val="00F01F8B"/>
    <w:rsid w:val="00F02794"/>
    <w:rsid w:val="00F043B3"/>
    <w:rsid w:val="00F044DD"/>
    <w:rsid w:val="00F04C95"/>
    <w:rsid w:val="00F04D60"/>
    <w:rsid w:val="00F052D5"/>
    <w:rsid w:val="00F05364"/>
    <w:rsid w:val="00F054DD"/>
    <w:rsid w:val="00F056A3"/>
    <w:rsid w:val="00F06B2A"/>
    <w:rsid w:val="00F06D67"/>
    <w:rsid w:val="00F10480"/>
    <w:rsid w:val="00F109B3"/>
    <w:rsid w:val="00F11001"/>
    <w:rsid w:val="00F12D26"/>
    <w:rsid w:val="00F12DD7"/>
    <w:rsid w:val="00F12FBD"/>
    <w:rsid w:val="00F14646"/>
    <w:rsid w:val="00F158FA"/>
    <w:rsid w:val="00F15F1A"/>
    <w:rsid w:val="00F15FFF"/>
    <w:rsid w:val="00F16F43"/>
    <w:rsid w:val="00F175B4"/>
    <w:rsid w:val="00F201C9"/>
    <w:rsid w:val="00F21714"/>
    <w:rsid w:val="00F21D37"/>
    <w:rsid w:val="00F222A0"/>
    <w:rsid w:val="00F22CC7"/>
    <w:rsid w:val="00F22E26"/>
    <w:rsid w:val="00F248C9"/>
    <w:rsid w:val="00F2630D"/>
    <w:rsid w:val="00F26969"/>
    <w:rsid w:val="00F27AC4"/>
    <w:rsid w:val="00F27E4A"/>
    <w:rsid w:val="00F31609"/>
    <w:rsid w:val="00F320EA"/>
    <w:rsid w:val="00F33034"/>
    <w:rsid w:val="00F344C6"/>
    <w:rsid w:val="00F352C7"/>
    <w:rsid w:val="00F35EA5"/>
    <w:rsid w:val="00F41605"/>
    <w:rsid w:val="00F42454"/>
    <w:rsid w:val="00F4332F"/>
    <w:rsid w:val="00F434FC"/>
    <w:rsid w:val="00F468DD"/>
    <w:rsid w:val="00F47128"/>
    <w:rsid w:val="00F47E25"/>
    <w:rsid w:val="00F47EDB"/>
    <w:rsid w:val="00F50A4A"/>
    <w:rsid w:val="00F53532"/>
    <w:rsid w:val="00F55A86"/>
    <w:rsid w:val="00F5634F"/>
    <w:rsid w:val="00F5659E"/>
    <w:rsid w:val="00F56C86"/>
    <w:rsid w:val="00F614F6"/>
    <w:rsid w:val="00F6603A"/>
    <w:rsid w:val="00F66A91"/>
    <w:rsid w:val="00F67B3E"/>
    <w:rsid w:val="00F67EAD"/>
    <w:rsid w:val="00F706BB"/>
    <w:rsid w:val="00F707F5"/>
    <w:rsid w:val="00F72F35"/>
    <w:rsid w:val="00F74319"/>
    <w:rsid w:val="00F748F4"/>
    <w:rsid w:val="00F74E64"/>
    <w:rsid w:val="00F77A3B"/>
    <w:rsid w:val="00F80EE8"/>
    <w:rsid w:val="00F80F5E"/>
    <w:rsid w:val="00F8190A"/>
    <w:rsid w:val="00F81E15"/>
    <w:rsid w:val="00F81E97"/>
    <w:rsid w:val="00F82B59"/>
    <w:rsid w:val="00F83749"/>
    <w:rsid w:val="00F8470E"/>
    <w:rsid w:val="00F91738"/>
    <w:rsid w:val="00F92BEE"/>
    <w:rsid w:val="00F92CB9"/>
    <w:rsid w:val="00F94CB3"/>
    <w:rsid w:val="00F94CC7"/>
    <w:rsid w:val="00F958D6"/>
    <w:rsid w:val="00F95B66"/>
    <w:rsid w:val="00F97D16"/>
    <w:rsid w:val="00F97FCB"/>
    <w:rsid w:val="00FA0A28"/>
    <w:rsid w:val="00FA1B07"/>
    <w:rsid w:val="00FA1C33"/>
    <w:rsid w:val="00FA24D0"/>
    <w:rsid w:val="00FA2EC8"/>
    <w:rsid w:val="00FA2F76"/>
    <w:rsid w:val="00FA3151"/>
    <w:rsid w:val="00FA594B"/>
    <w:rsid w:val="00FA7C7A"/>
    <w:rsid w:val="00FB4E02"/>
    <w:rsid w:val="00FB53A2"/>
    <w:rsid w:val="00FB5593"/>
    <w:rsid w:val="00FB614E"/>
    <w:rsid w:val="00FB6784"/>
    <w:rsid w:val="00FB6799"/>
    <w:rsid w:val="00FB6C35"/>
    <w:rsid w:val="00FB7F8A"/>
    <w:rsid w:val="00FC0DCE"/>
    <w:rsid w:val="00FC13B8"/>
    <w:rsid w:val="00FC1E5B"/>
    <w:rsid w:val="00FC2544"/>
    <w:rsid w:val="00FC2559"/>
    <w:rsid w:val="00FC2C98"/>
    <w:rsid w:val="00FC3303"/>
    <w:rsid w:val="00FC3D8C"/>
    <w:rsid w:val="00FC3E9F"/>
    <w:rsid w:val="00FC6C3D"/>
    <w:rsid w:val="00FC7578"/>
    <w:rsid w:val="00FD1D4A"/>
    <w:rsid w:val="00FD3D4D"/>
    <w:rsid w:val="00FD4E66"/>
    <w:rsid w:val="00FD5F8B"/>
    <w:rsid w:val="00FD609E"/>
    <w:rsid w:val="00FD6567"/>
    <w:rsid w:val="00FD6A3F"/>
    <w:rsid w:val="00FD7B23"/>
    <w:rsid w:val="00FD7D5F"/>
    <w:rsid w:val="00FE0158"/>
    <w:rsid w:val="00FE08A1"/>
    <w:rsid w:val="00FE1AA5"/>
    <w:rsid w:val="00FE35BC"/>
    <w:rsid w:val="00FE41A9"/>
    <w:rsid w:val="00FE69F9"/>
    <w:rsid w:val="00FF093C"/>
    <w:rsid w:val="00FF317A"/>
    <w:rsid w:val="00FF53E4"/>
    <w:rsid w:val="00FF56EB"/>
    <w:rsid w:val="00FF5741"/>
    <w:rsid w:val="00FF61E8"/>
    <w:rsid w:val="00FF6346"/>
    <w:rsid w:val="00FF675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7A3A19"/>
  <w15:docId w15:val="{67BA4D8A-E54F-42AC-9E79-6E02DE0D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3" w:qFormat="1"/>
    <w:lsdException w:name="heading 3" w:semiHidden="1" w:uiPriority="4" w:qFormat="1"/>
    <w:lsdException w:name="heading 4" w:semiHidden="1" w:uiPriority="5"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qFormat="1"/>
    <w:lsdException w:name="List Number" w:semiHidden="1"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qFormat="1"/>
    <w:lsdException w:name="List Bullet 3" w:semiHidden="1" w:uiPriority="10" w:qFormat="1"/>
    <w:lsdException w:name="List Bullet 4" w:semiHidden="1" w:unhideWhenUsed="1"/>
    <w:lsdException w:name="List Bullet 5" w:semiHidden="1" w:unhideWhenUsed="1"/>
    <w:lsdException w:name="List Number 2" w:semiHidden="1" w:uiPriority="12" w:qFormat="1"/>
    <w:lsdException w:name="List Number 3" w:semiHidden="1" w:uiPriority="13"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iPriority="27"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C2D5C"/>
    <w:pPr>
      <w:spacing w:before="60" w:after="60" w:line="276" w:lineRule="auto"/>
    </w:pPr>
    <w:rPr>
      <w:rFonts w:ascii="Arial" w:eastAsia="Times New Roman" w:hAnsi="Arial" w:cs="Arial"/>
      <w:color w:val="000000"/>
      <w:sz w:val="16"/>
      <w:szCs w:val="22"/>
      <w:lang w:eastAsia="en-GB"/>
    </w:rPr>
  </w:style>
  <w:style w:type="paragraph" w:styleId="Heading1">
    <w:name w:val="heading 1"/>
    <w:basedOn w:val="Normal"/>
    <w:next w:val="BodyText"/>
    <w:link w:val="Heading1Char"/>
    <w:uiPriority w:val="2"/>
    <w:qFormat/>
    <w:rsid w:val="005A1F44"/>
    <w:pPr>
      <w:keepNext/>
      <w:keepLines/>
      <w:numPr>
        <w:numId w:val="20"/>
      </w:numPr>
      <w:spacing w:before="180" w:after="180" w:line="264" w:lineRule="auto"/>
      <w:outlineLvl w:val="0"/>
    </w:pPr>
    <w:rPr>
      <w:rFonts w:asciiTheme="majorHAnsi" w:eastAsiaTheme="majorEastAsia" w:hAnsiTheme="majorHAnsi" w:cstheme="majorBidi"/>
      <w:b/>
      <w:bCs/>
      <w:color w:val="00B5E2" w:themeColor="accent1"/>
      <w:sz w:val="30"/>
      <w:szCs w:val="28"/>
    </w:rPr>
  </w:style>
  <w:style w:type="paragraph" w:styleId="Heading2">
    <w:name w:val="heading 2"/>
    <w:basedOn w:val="Normal"/>
    <w:next w:val="BodyText"/>
    <w:link w:val="Heading2Char"/>
    <w:uiPriority w:val="3"/>
    <w:qFormat/>
    <w:rsid w:val="005A1F44"/>
    <w:pPr>
      <w:keepNext/>
      <w:keepLines/>
      <w:numPr>
        <w:ilvl w:val="1"/>
        <w:numId w:val="20"/>
      </w:numPr>
      <w:spacing w:before="240" w:after="180" w:line="264" w:lineRule="auto"/>
      <w:outlineLvl w:val="1"/>
    </w:pPr>
    <w:rPr>
      <w:rFonts w:asciiTheme="majorHAnsi" w:eastAsiaTheme="majorEastAsia" w:hAnsiTheme="majorHAnsi" w:cstheme="majorBidi"/>
      <w:bCs/>
      <w:color w:val="00B5E2" w:themeColor="accent1"/>
      <w:sz w:val="26"/>
      <w:szCs w:val="26"/>
    </w:rPr>
  </w:style>
  <w:style w:type="paragraph" w:styleId="Heading3">
    <w:name w:val="heading 3"/>
    <w:basedOn w:val="Normal"/>
    <w:next w:val="BodyText"/>
    <w:link w:val="Heading3Char"/>
    <w:uiPriority w:val="4"/>
    <w:qFormat/>
    <w:rsid w:val="005A1F44"/>
    <w:pPr>
      <w:keepNext/>
      <w:keepLines/>
      <w:numPr>
        <w:ilvl w:val="2"/>
        <w:numId w:val="20"/>
      </w:numPr>
      <w:spacing w:before="240" w:after="180" w:line="264" w:lineRule="auto"/>
      <w:outlineLvl w:val="2"/>
    </w:pPr>
    <w:rPr>
      <w:rFonts w:asciiTheme="majorHAnsi" w:eastAsiaTheme="majorEastAsia" w:hAnsiTheme="majorHAnsi" w:cstheme="majorBidi"/>
      <w:bCs/>
      <w:color w:val="00B5E2" w:themeColor="accent1"/>
      <w:sz w:val="22"/>
    </w:rPr>
  </w:style>
  <w:style w:type="paragraph" w:styleId="Heading4">
    <w:name w:val="heading 4"/>
    <w:basedOn w:val="Normal"/>
    <w:next w:val="BodyText"/>
    <w:link w:val="Heading4Char"/>
    <w:uiPriority w:val="5"/>
    <w:qFormat/>
    <w:rsid w:val="005A1F44"/>
    <w:pPr>
      <w:keepNext/>
      <w:keepLines/>
      <w:numPr>
        <w:ilvl w:val="3"/>
        <w:numId w:val="20"/>
      </w:numPr>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unhideWhenUsed/>
    <w:qFormat/>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unhideWhenUsed/>
    <w:qFormat/>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A1F44"/>
    <w:rPr>
      <w:rFonts w:asciiTheme="majorHAnsi" w:eastAsiaTheme="majorEastAsia" w:hAnsiTheme="majorHAnsi" w:cstheme="majorBidi"/>
      <w:b/>
      <w:bCs/>
      <w:color w:val="00B5E2" w:themeColor="accent1"/>
      <w:sz w:val="30"/>
      <w:szCs w:val="28"/>
      <w:lang w:eastAsia="en-GB"/>
    </w:rPr>
  </w:style>
  <w:style w:type="character" w:customStyle="1" w:styleId="Heading2Char">
    <w:name w:val="Heading 2 Char"/>
    <w:basedOn w:val="DefaultParagraphFont"/>
    <w:link w:val="Heading2"/>
    <w:uiPriority w:val="3"/>
    <w:rsid w:val="005A1F44"/>
    <w:rPr>
      <w:rFonts w:asciiTheme="majorHAnsi" w:eastAsiaTheme="majorEastAsia" w:hAnsiTheme="majorHAnsi" w:cstheme="majorBidi"/>
      <w:bCs/>
      <w:color w:val="00B5E2" w:themeColor="accent1"/>
      <w:sz w:val="26"/>
      <w:szCs w:val="26"/>
      <w:lang w:eastAsia="en-GB"/>
    </w:rPr>
  </w:style>
  <w:style w:type="character" w:customStyle="1" w:styleId="Heading3Char">
    <w:name w:val="Heading 3 Char"/>
    <w:basedOn w:val="DefaultParagraphFont"/>
    <w:link w:val="Heading3"/>
    <w:uiPriority w:val="4"/>
    <w:rsid w:val="005A1F44"/>
    <w:rPr>
      <w:rFonts w:asciiTheme="majorHAnsi" w:eastAsiaTheme="majorEastAsia" w:hAnsiTheme="majorHAnsi" w:cstheme="majorBidi"/>
      <w:bCs/>
      <w:color w:val="00B5E2" w:themeColor="accent1"/>
      <w:sz w:val="22"/>
      <w:szCs w:val="22"/>
      <w:lang w:eastAsia="en-GB"/>
    </w:rPr>
  </w:style>
  <w:style w:type="paragraph" w:styleId="ListNumber">
    <w:name w:val="List Number"/>
    <w:basedOn w:val="Normal"/>
    <w:uiPriority w:val="11"/>
    <w:qFormat/>
    <w:rsid w:val="00A82210"/>
    <w:pPr>
      <w:numPr>
        <w:numId w:val="15"/>
      </w:numPr>
      <w:spacing w:after="120"/>
    </w:pPr>
    <w:rPr>
      <w:sz w:val="18"/>
      <w:szCs w:val="18"/>
      <w:lang w:val="en-US"/>
    </w:rPr>
  </w:style>
  <w:style w:type="paragraph" w:styleId="ListNumber2">
    <w:name w:val="List Number 2"/>
    <w:basedOn w:val="Normal"/>
    <w:uiPriority w:val="12"/>
    <w:qFormat/>
    <w:rsid w:val="00790710"/>
    <w:pPr>
      <w:numPr>
        <w:ilvl w:val="1"/>
        <w:numId w:val="15"/>
      </w:numPr>
      <w:spacing w:after="120"/>
    </w:pPr>
  </w:style>
  <w:style w:type="paragraph" w:styleId="ListNumber3">
    <w:name w:val="List Number 3"/>
    <w:basedOn w:val="Normal"/>
    <w:uiPriority w:val="13"/>
    <w:qFormat/>
    <w:rsid w:val="00790710"/>
    <w:pPr>
      <w:numPr>
        <w:ilvl w:val="2"/>
        <w:numId w:val="15"/>
      </w:numPr>
      <w:spacing w:after="120"/>
    </w:pPr>
  </w:style>
  <w:style w:type="paragraph" w:styleId="ListBullet">
    <w:name w:val="List Bullet"/>
    <w:basedOn w:val="Normal"/>
    <w:uiPriority w:val="8"/>
    <w:qFormat/>
    <w:rsid w:val="00F06B2A"/>
    <w:pPr>
      <w:numPr>
        <w:numId w:val="14"/>
      </w:numPr>
      <w:spacing w:after="120"/>
    </w:pPr>
    <w:rPr>
      <w:rFonts w:eastAsiaTheme="minorHAnsi"/>
      <w:sz w:val="18"/>
      <w:szCs w:val="18"/>
      <w:lang w:eastAsia="en-US"/>
    </w:rPr>
  </w:style>
  <w:style w:type="paragraph" w:styleId="ListBullet2">
    <w:name w:val="List Bullet 2"/>
    <w:basedOn w:val="Normal"/>
    <w:uiPriority w:val="9"/>
    <w:qFormat/>
    <w:rsid w:val="00790710"/>
    <w:pPr>
      <w:numPr>
        <w:ilvl w:val="1"/>
        <w:numId w:val="14"/>
      </w:numPr>
      <w:spacing w:after="120"/>
    </w:pPr>
  </w:style>
  <w:style w:type="paragraph" w:styleId="ListBullet3">
    <w:name w:val="List Bullet 3"/>
    <w:basedOn w:val="Normal"/>
    <w:uiPriority w:val="10"/>
    <w:qFormat/>
    <w:rsid w:val="00790710"/>
    <w:pPr>
      <w:numPr>
        <w:ilvl w:val="2"/>
        <w:numId w:val="14"/>
      </w:numPr>
      <w:spacing w:after="120"/>
    </w:pPr>
  </w:style>
  <w:style w:type="character" w:customStyle="1" w:styleId="Heading4Char">
    <w:name w:val="Heading 4 Char"/>
    <w:basedOn w:val="DefaultParagraphFont"/>
    <w:link w:val="Heading4"/>
    <w:uiPriority w:val="5"/>
    <w:rsid w:val="005A1F44"/>
    <w:rPr>
      <w:rFonts w:asciiTheme="majorHAnsi" w:eastAsiaTheme="majorEastAsia" w:hAnsiTheme="majorHAnsi" w:cstheme="majorBidi"/>
      <w:bCs/>
      <w:iCs/>
      <w:color w:val="000000"/>
      <w:sz w:val="16"/>
      <w:szCs w:val="22"/>
      <w:lang w:eastAsia="en-GB"/>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sz w:val="16"/>
      <w:szCs w:val="22"/>
      <w:lang w:eastAsia="en-GB"/>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3A3279"/>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35"/>
    <w:qFormat/>
    <w:rsid w:val="00886112"/>
    <w:pPr>
      <w:keepNext/>
      <w:spacing w:after="120"/>
      <w:ind w:left="425"/>
    </w:pPr>
    <w:rPr>
      <w:rFonts w:asciiTheme="majorHAnsi" w:hAnsiTheme="majorHAnsi"/>
      <w:b/>
      <w:bCs/>
      <w:color w:val="00B5E2" w:themeColor="accent1"/>
      <w:sz w:val="20"/>
    </w:rPr>
  </w:style>
  <w:style w:type="paragraph" w:customStyle="1" w:styleId="Source">
    <w:name w:val="Source"/>
    <w:basedOn w:val="Normal"/>
    <w:link w:val="SourceChar"/>
    <w:qFormat/>
    <w:rsid w:val="00886112"/>
    <w:pPr>
      <w:spacing w:after="120"/>
      <w:ind w:left="425"/>
    </w:pPr>
    <w:rPr>
      <w:i/>
      <w:lang w:val="en-US"/>
    </w:rPr>
  </w:style>
  <w:style w:type="paragraph" w:styleId="FootnoteText">
    <w:name w:val="footnote text"/>
    <w:basedOn w:val="Normal"/>
    <w:link w:val="FootnoteTextChar"/>
    <w:uiPriority w:val="99"/>
    <w:unhideWhenUsed/>
    <w:qFormat/>
    <w:rsid w:val="00253171"/>
    <w:pPr>
      <w:spacing w:line="240" w:lineRule="auto"/>
    </w:pPr>
    <w:rPr>
      <w:szCs w:val="20"/>
    </w:rPr>
  </w:style>
  <w:style w:type="character" w:customStyle="1" w:styleId="FootnoteTextChar">
    <w:name w:val="Footnote Text Char"/>
    <w:basedOn w:val="DefaultParagraphFont"/>
    <w:link w:val="FootnoteText"/>
    <w:uiPriority w:val="99"/>
    <w:rsid w:val="00F66A91"/>
    <w:rPr>
      <w:kern w:val="18"/>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5A1F44"/>
    <w:pPr>
      <w:pageBreakBefore/>
      <w:numPr>
        <w:numId w:val="21"/>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rsid w:val="00F66A91"/>
    <w:rPr>
      <w:rFonts w:asciiTheme="majorHAnsi" w:eastAsiaTheme="majorEastAsia" w:hAnsiTheme="majorHAnsi" w:cstheme="majorBidi"/>
      <w:i/>
      <w:iCs/>
      <w:color w:val="005970" w:themeColor="accent1" w:themeShade="7F"/>
      <w:sz w:val="16"/>
      <w:szCs w:val="22"/>
      <w:lang w:eastAsia="en-GB"/>
    </w:rPr>
  </w:style>
  <w:style w:type="character" w:customStyle="1" w:styleId="Heading7Char">
    <w:name w:val="Heading 7 Char"/>
    <w:basedOn w:val="DefaultParagraphFont"/>
    <w:link w:val="Heading7"/>
    <w:uiPriority w:val="9"/>
    <w:rsid w:val="00F66A91"/>
    <w:rPr>
      <w:rFonts w:asciiTheme="majorHAnsi" w:eastAsiaTheme="majorEastAsia" w:hAnsiTheme="majorHAnsi" w:cstheme="majorBidi"/>
      <w:i/>
      <w:iCs/>
      <w:color w:val="404040" w:themeColor="text1" w:themeTint="BF"/>
      <w:sz w:val="16"/>
      <w:szCs w:val="22"/>
      <w:lang w:eastAsia="en-GB"/>
    </w:rPr>
  </w:style>
  <w:style w:type="character" w:customStyle="1" w:styleId="Heading8Char">
    <w:name w:val="Heading 8 Char"/>
    <w:basedOn w:val="DefaultParagraphFont"/>
    <w:link w:val="Heading8"/>
    <w:uiPriority w:val="9"/>
    <w:rsid w:val="00F66A91"/>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rsid w:val="00F66A91"/>
    <w:rPr>
      <w:rFonts w:asciiTheme="majorHAnsi" w:eastAsiaTheme="majorEastAsia" w:hAnsiTheme="majorHAnsi" w:cstheme="majorBidi"/>
      <w:i/>
      <w:iCs/>
      <w:color w:val="404040" w:themeColor="text1" w:themeTint="BF"/>
      <w:sz w:val="20"/>
      <w:szCs w:val="20"/>
      <w:lang w:eastAsia="en-GB"/>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unhideWhenUsed/>
    <w:rsid w:val="00AA75D4"/>
  </w:style>
  <w:style w:type="character" w:styleId="Strong">
    <w:name w:val="Strong"/>
    <w:basedOn w:val="DefaultParagraphFont"/>
    <w:uiPriority w:val="22"/>
    <w:unhideWhenUsed/>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1"/>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spacing w:line="240" w:lineRule="auto"/>
      <w:ind w:left="180" w:hanging="180"/>
    </w:pPr>
  </w:style>
  <w:style w:type="paragraph" w:styleId="Index2">
    <w:name w:val="index 2"/>
    <w:basedOn w:val="Normal"/>
    <w:next w:val="Normal"/>
    <w:autoRedefine/>
    <w:uiPriority w:val="99"/>
    <w:semiHidden/>
    <w:unhideWhenUsed/>
    <w:rsid w:val="004C255D"/>
    <w:pPr>
      <w:spacing w:line="240" w:lineRule="auto"/>
      <w:ind w:left="360" w:hanging="180"/>
    </w:pPr>
  </w:style>
  <w:style w:type="paragraph" w:styleId="Index3">
    <w:name w:val="index 3"/>
    <w:basedOn w:val="Normal"/>
    <w:next w:val="Normal"/>
    <w:autoRedefine/>
    <w:uiPriority w:val="99"/>
    <w:semiHidden/>
    <w:unhideWhenUsed/>
    <w:rsid w:val="004C255D"/>
    <w:pPr>
      <w:spacing w:line="240" w:lineRule="auto"/>
      <w:ind w:left="540" w:hanging="180"/>
    </w:pPr>
  </w:style>
  <w:style w:type="paragraph" w:styleId="Index4">
    <w:name w:val="index 4"/>
    <w:basedOn w:val="Normal"/>
    <w:next w:val="Normal"/>
    <w:autoRedefine/>
    <w:uiPriority w:val="99"/>
    <w:semiHidden/>
    <w:unhideWhenUsed/>
    <w:rsid w:val="004C255D"/>
    <w:pPr>
      <w:spacing w:line="240" w:lineRule="auto"/>
      <w:ind w:left="720" w:hanging="180"/>
    </w:pPr>
  </w:style>
  <w:style w:type="paragraph" w:styleId="Index5">
    <w:name w:val="index 5"/>
    <w:basedOn w:val="Normal"/>
    <w:next w:val="Normal"/>
    <w:autoRedefine/>
    <w:uiPriority w:val="99"/>
    <w:semiHidden/>
    <w:unhideWhenUsed/>
    <w:rsid w:val="004C255D"/>
    <w:pPr>
      <w:spacing w:line="240" w:lineRule="auto"/>
      <w:ind w:left="900" w:hanging="180"/>
    </w:pPr>
  </w:style>
  <w:style w:type="paragraph" w:styleId="Index6">
    <w:name w:val="index 6"/>
    <w:basedOn w:val="Normal"/>
    <w:next w:val="Normal"/>
    <w:autoRedefine/>
    <w:uiPriority w:val="99"/>
    <w:semiHidden/>
    <w:unhideWhenUsed/>
    <w:rsid w:val="004C255D"/>
    <w:pPr>
      <w:spacing w:line="240" w:lineRule="auto"/>
      <w:ind w:left="1080" w:hanging="180"/>
    </w:pPr>
  </w:style>
  <w:style w:type="paragraph" w:styleId="Index7">
    <w:name w:val="index 7"/>
    <w:basedOn w:val="Normal"/>
    <w:next w:val="Normal"/>
    <w:autoRedefine/>
    <w:uiPriority w:val="99"/>
    <w:semiHidden/>
    <w:unhideWhenUsed/>
    <w:rsid w:val="004C255D"/>
    <w:pPr>
      <w:spacing w:line="240" w:lineRule="auto"/>
      <w:ind w:left="1260" w:hanging="180"/>
    </w:pPr>
  </w:style>
  <w:style w:type="paragraph" w:styleId="Index8">
    <w:name w:val="index 8"/>
    <w:basedOn w:val="Normal"/>
    <w:next w:val="Normal"/>
    <w:autoRedefine/>
    <w:uiPriority w:val="99"/>
    <w:semiHidden/>
    <w:unhideWhenUsed/>
    <w:rsid w:val="004C255D"/>
    <w:pPr>
      <w:spacing w:line="240" w:lineRule="auto"/>
      <w:ind w:left="1440" w:hanging="180"/>
    </w:pPr>
  </w:style>
  <w:style w:type="paragraph" w:styleId="Index9">
    <w:name w:val="index 9"/>
    <w:basedOn w:val="Normal"/>
    <w:next w:val="Normal"/>
    <w:autoRedefine/>
    <w:uiPriority w:val="99"/>
    <w:semiHidden/>
    <w:unhideWhenUsed/>
    <w:rsid w:val="004C255D"/>
    <w:pPr>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unhideWhenUsed/>
    <w:rsid w:val="004C255D"/>
    <w:rPr>
      <w:b/>
      <w:bCs/>
      <w:i/>
      <w:iCs/>
      <w:color w:val="00B5E2" w:themeColor="accent1"/>
    </w:rPr>
  </w:style>
  <w:style w:type="paragraph" w:styleId="IntenseQuote">
    <w:name w:val="Intense Quote"/>
    <w:basedOn w:val="Normal"/>
    <w:next w:val="Normal"/>
    <w:link w:val="IntenseQuoteChar"/>
    <w:uiPriority w:val="30"/>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rsid w:val="00F66A91"/>
    <w:rPr>
      <w:b/>
      <w:bCs/>
      <w:i/>
      <w:iCs/>
      <w:color w:val="00B5E2" w:themeColor="accent1"/>
      <w:kern w:val="18"/>
    </w:rPr>
  </w:style>
  <w:style w:type="character" w:styleId="IntenseReference">
    <w:name w:val="Intense Reference"/>
    <w:basedOn w:val="DefaultParagraphFont"/>
    <w:uiPriority w:val="32"/>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unhideWhenUsed/>
    <w:rsid w:val="004C255D"/>
    <w:rPr>
      <w:i/>
      <w:iCs/>
      <w:color w:val="808080" w:themeColor="text1" w:themeTint="7F"/>
    </w:rPr>
  </w:style>
  <w:style w:type="character" w:styleId="SubtleReference">
    <w:name w:val="Subtle Reference"/>
    <w:basedOn w:val="DefaultParagraphFont"/>
    <w:uiPriority w:val="31"/>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right" w:leader="dot" w:pos="9026"/>
      </w:tabs>
      <w:spacing w:after="40"/>
      <w:ind w:left="1134" w:hanging="567"/>
    </w:pPr>
  </w:style>
  <w:style w:type="paragraph" w:styleId="TOC5">
    <w:name w:val="toc 5"/>
    <w:basedOn w:val="Normal"/>
    <w:next w:val="Normal"/>
    <w:autoRedefine/>
    <w:uiPriority w:val="39"/>
    <w:semiHidden/>
    <w:unhideWhenUsed/>
    <w:rsid w:val="004C255D"/>
    <w:pPr>
      <w:spacing w:after="100"/>
      <w:ind w:left="720"/>
    </w:pPr>
  </w:style>
  <w:style w:type="paragraph" w:styleId="TOC6">
    <w:name w:val="toc 6"/>
    <w:basedOn w:val="Normal"/>
    <w:next w:val="Normal"/>
    <w:autoRedefine/>
    <w:uiPriority w:val="39"/>
    <w:semiHidden/>
    <w:unhideWhenUsed/>
    <w:rsid w:val="004C255D"/>
    <w:pPr>
      <w:spacing w:after="100"/>
      <w:ind w:left="900"/>
    </w:pPr>
  </w:style>
  <w:style w:type="paragraph" w:styleId="TOC7">
    <w:name w:val="toc 7"/>
    <w:basedOn w:val="Normal"/>
    <w:next w:val="Normal"/>
    <w:autoRedefine/>
    <w:uiPriority w:val="39"/>
    <w:semiHidden/>
    <w:unhideWhenUsed/>
    <w:rsid w:val="004C255D"/>
    <w:pPr>
      <w:spacing w:after="100"/>
      <w:ind w:left="1080"/>
    </w:pPr>
  </w:style>
  <w:style w:type="paragraph" w:styleId="TOC8">
    <w:name w:val="toc 8"/>
    <w:basedOn w:val="Normal"/>
    <w:next w:val="Normal"/>
    <w:autoRedefine/>
    <w:uiPriority w:val="39"/>
    <w:semiHidden/>
    <w:unhideWhenUsed/>
    <w:rsid w:val="004C255D"/>
    <w:pPr>
      <w:spacing w:after="100"/>
      <w:ind w:left="1260"/>
    </w:pPr>
  </w:style>
  <w:style w:type="paragraph" w:styleId="TOC9">
    <w:name w:val="toc 9"/>
    <w:basedOn w:val="Normal"/>
    <w:next w:val="Normal"/>
    <w:autoRedefine/>
    <w:uiPriority w:val="39"/>
    <w:semiHidden/>
    <w:unhideWhenUsed/>
    <w:rsid w:val="004C255D"/>
    <w:pPr>
      <w:spacing w:after="100"/>
      <w:ind w:left="1440"/>
    </w:pPr>
  </w:style>
  <w:style w:type="paragraph" w:customStyle="1" w:styleId="CVHeading">
    <w:name w:val="CV Heading"/>
    <w:basedOn w:val="BodyText"/>
    <w:uiPriority w:val="23"/>
    <w:qFormat/>
    <w:rsid w:val="004C255D"/>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spacing w:after="40" w:line="240" w:lineRule="auto"/>
    </w:pPr>
  </w:style>
  <w:style w:type="paragraph" w:customStyle="1" w:styleId="TableListBullet2">
    <w:name w:val="Table List Bullet 2"/>
    <w:basedOn w:val="Normal"/>
    <w:uiPriority w:val="16"/>
    <w:qFormat/>
    <w:rsid w:val="002740A7"/>
    <w:pPr>
      <w:numPr>
        <w:ilvl w:val="1"/>
        <w:numId w:val="19"/>
      </w:numPr>
      <w:spacing w:after="40" w:line="240" w:lineRule="auto"/>
    </w:pPr>
  </w:style>
  <w:style w:type="paragraph" w:customStyle="1" w:styleId="TableListBullet3">
    <w:name w:val="Table List Bullet 3"/>
    <w:basedOn w:val="Normal"/>
    <w:uiPriority w:val="17"/>
    <w:qFormat/>
    <w:rsid w:val="002740A7"/>
    <w:pPr>
      <w:numPr>
        <w:ilvl w:val="2"/>
        <w:numId w:val="19"/>
      </w:numPr>
      <w:spacing w:after="40" w:line="240" w:lineRule="auto"/>
    </w:pPr>
  </w:style>
  <w:style w:type="paragraph" w:customStyle="1" w:styleId="TableListNumber">
    <w:name w:val="Table List Number"/>
    <w:basedOn w:val="BodyText"/>
    <w:uiPriority w:val="18"/>
    <w:qFormat/>
    <w:rsid w:val="002740A7"/>
    <w:pPr>
      <w:numPr>
        <w:numId w:val="18"/>
      </w:numPr>
      <w:spacing w:after="40" w:line="240" w:lineRule="auto"/>
    </w:pPr>
  </w:style>
  <w:style w:type="paragraph" w:customStyle="1" w:styleId="TableListNumber2">
    <w:name w:val="Table List Number 2"/>
    <w:basedOn w:val="Normal"/>
    <w:uiPriority w:val="19"/>
    <w:qFormat/>
    <w:rsid w:val="002740A7"/>
    <w:pPr>
      <w:numPr>
        <w:ilvl w:val="1"/>
        <w:numId w:val="18"/>
      </w:numPr>
      <w:spacing w:after="40" w:line="240" w:lineRule="auto"/>
    </w:pPr>
  </w:style>
  <w:style w:type="paragraph" w:customStyle="1" w:styleId="TableListNumber3">
    <w:name w:val="Table List Number 3"/>
    <w:basedOn w:val="Normal"/>
    <w:uiPriority w:val="20"/>
    <w:qFormat/>
    <w:rsid w:val="002740A7"/>
    <w:pPr>
      <w:numPr>
        <w:ilvl w:val="2"/>
        <w:numId w:val="18"/>
      </w:numPr>
      <w:spacing w:after="40" w:line="240" w:lineRule="auto"/>
    </w:pPr>
  </w:style>
  <w:style w:type="paragraph" w:customStyle="1" w:styleId="Tabletext">
    <w:name w:val="Table text"/>
    <w:basedOn w:val="BodyText"/>
    <w:uiPriority w:val="1"/>
    <w:qFormat/>
    <w:rsid w:val="00AA045B"/>
    <w:pPr>
      <w:spacing w:before="40" w:after="40" w:line="240" w:lineRule="auto"/>
    </w:p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5A1F44"/>
    <w:pPr>
      <w:numPr>
        <w:numId w:val="21"/>
      </w:numPr>
      <w:ind w:left="720"/>
    </w:pPr>
  </w:style>
  <w:style w:type="paragraph" w:styleId="Revision">
    <w:name w:val="Revision"/>
    <w:hidden/>
    <w:uiPriority w:val="99"/>
    <w:semiHidden/>
    <w:rsid w:val="00C57544"/>
    <w:rPr>
      <w:kern w:val="18"/>
    </w:rPr>
  </w:style>
  <w:style w:type="paragraph" w:customStyle="1" w:styleId="Figure">
    <w:name w:val="Figure"/>
    <w:basedOn w:val="BodyText"/>
    <w:link w:val="FigureChar"/>
    <w:autoRedefine/>
    <w:uiPriority w:val="1"/>
    <w:qFormat/>
    <w:rsid w:val="00BE0DA4"/>
    <w:rPr>
      <w:b/>
      <w:sz w:val="20"/>
      <w:lang w:val="en-US"/>
    </w:rPr>
  </w:style>
  <w:style w:type="character" w:customStyle="1" w:styleId="FigureChar">
    <w:name w:val="Figure Char"/>
    <w:basedOn w:val="BodyTextChar"/>
    <w:link w:val="Figure"/>
    <w:uiPriority w:val="1"/>
    <w:rsid w:val="00BE0DA4"/>
    <w:rPr>
      <w:b/>
      <w:kern w:val="18"/>
      <w:sz w:val="20"/>
      <w:szCs w:val="22"/>
      <w:lang w:val="en-US"/>
    </w:rPr>
  </w:style>
  <w:style w:type="paragraph" w:customStyle="1" w:styleId="2BodyText">
    <w:name w:val="2 BodyText"/>
    <w:basedOn w:val="Normal"/>
    <w:rsid w:val="00D370D8"/>
    <w:pPr>
      <w:spacing w:after="240"/>
    </w:pPr>
    <w:rPr>
      <w:rFonts w:cs="Times New Roman"/>
      <w:szCs w:val="26"/>
      <w:lang w:val="en-US"/>
    </w:rPr>
  </w:style>
  <w:style w:type="paragraph" w:customStyle="1" w:styleId="Default">
    <w:name w:val="Default"/>
    <w:rsid w:val="001C727A"/>
    <w:pPr>
      <w:autoSpaceDE w:val="0"/>
      <w:autoSpaceDN w:val="0"/>
      <w:adjustRightInd w:val="0"/>
    </w:pPr>
    <w:rPr>
      <w:rFonts w:ascii="Arial" w:hAnsi="Arial" w:cs="Arial"/>
      <w:color w:val="000000"/>
      <w:sz w:val="24"/>
      <w:szCs w:val="24"/>
    </w:rPr>
  </w:style>
  <w:style w:type="table" w:customStyle="1" w:styleId="AECOMtable1">
    <w:name w:val="AECOM table1"/>
    <w:basedOn w:val="TableNormal"/>
    <w:uiPriority w:val="99"/>
    <w:unhideWhenUsed/>
    <w:rsid w:val="001C727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table" w:customStyle="1" w:styleId="TableGrid10">
    <w:name w:val="Table Grid1"/>
    <w:basedOn w:val="TableNormal"/>
    <w:next w:val="TableGrid"/>
    <w:uiPriority w:val="59"/>
    <w:unhideWhenUsed/>
    <w:rsid w:val="002C2D5C"/>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Style11">
    <w:name w:val="Style11"/>
    <w:basedOn w:val="TableNormal"/>
    <w:uiPriority w:val="99"/>
    <w:rsid w:val="002C2D5C"/>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tblPr/>
      <w:tcPr>
        <w:shd w:val="clear" w:color="auto" w:fill="000000"/>
      </w:tcPr>
    </w:tblStylePr>
  </w:style>
  <w:style w:type="character" w:customStyle="1" w:styleId="Hyperlink1">
    <w:name w:val="Hyperlink1"/>
    <w:basedOn w:val="DefaultParagraphFont"/>
    <w:uiPriority w:val="99"/>
    <w:qFormat/>
    <w:rsid w:val="002C2D5C"/>
    <w:rPr>
      <w:color w:val="00B5E2"/>
      <w:u w:val="single"/>
    </w:rPr>
  </w:style>
  <w:style w:type="table" w:customStyle="1" w:styleId="TableGrid20">
    <w:name w:val="Table Grid2"/>
    <w:basedOn w:val="TableNormal"/>
    <w:next w:val="TableGrid"/>
    <w:uiPriority w:val="59"/>
    <w:unhideWhenUsed/>
    <w:rsid w:val="002C2D5C"/>
    <w:rPr>
      <w:rFonts w:eastAsia="SimSu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character" w:customStyle="1" w:styleId="FootnoteReference1">
    <w:name w:val="Footnote Reference1"/>
    <w:basedOn w:val="DefaultParagraphFont"/>
    <w:uiPriority w:val="99"/>
    <w:unhideWhenUsed/>
    <w:rsid w:val="002C2D5C"/>
    <w:rPr>
      <w:rFonts w:ascii="Calibri Light" w:hAnsi="Calibri Light"/>
      <w:color w:val="auto"/>
      <w:vertAlign w:val="superscript"/>
    </w:rPr>
  </w:style>
  <w:style w:type="table" w:customStyle="1" w:styleId="ListTable31">
    <w:name w:val="List Table 31"/>
    <w:basedOn w:val="TableNormal"/>
    <w:uiPriority w:val="48"/>
    <w:rsid w:val="002C2D5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
    <w:name w:val="Table Grid21"/>
    <w:basedOn w:val="TableNormal"/>
    <w:next w:val="TableGrid"/>
    <w:uiPriority w:val="59"/>
    <w:unhideWhenUsed/>
    <w:rsid w:val="002C2D5C"/>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paragraph" w:customStyle="1" w:styleId="BoldBodyText">
    <w:name w:val="Bold Body Text"/>
    <w:basedOn w:val="BodyText"/>
    <w:link w:val="BoldBodyTextChar"/>
    <w:uiPriority w:val="1"/>
    <w:qFormat/>
    <w:rsid w:val="002C2D5C"/>
    <w:rPr>
      <w:b/>
      <w:lang w:val="en"/>
    </w:rPr>
  </w:style>
  <w:style w:type="character" w:customStyle="1" w:styleId="BoldBodyTextChar">
    <w:name w:val="Bold Body Text Char"/>
    <w:basedOn w:val="BodyTextChar"/>
    <w:link w:val="BoldBodyText"/>
    <w:uiPriority w:val="1"/>
    <w:rsid w:val="002C2D5C"/>
    <w:rPr>
      <w:b/>
      <w:kern w:val="18"/>
      <w:lang w:val="en"/>
    </w:rPr>
  </w:style>
  <w:style w:type="paragraph" w:customStyle="1" w:styleId="UnderlineBodyText">
    <w:name w:val="Underline Body Text"/>
    <w:basedOn w:val="BodyText"/>
    <w:link w:val="UnderlineBodyTextChar"/>
    <w:uiPriority w:val="1"/>
    <w:qFormat/>
    <w:rsid w:val="002C2D5C"/>
    <w:rPr>
      <w:u w:val="single"/>
    </w:rPr>
  </w:style>
  <w:style w:type="paragraph" w:customStyle="1" w:styleId="ItalicsBodyText">
    <w:name w:val="Italics Body Text"/>
    <w:basedOn w:val="BodyText"/>
    <w:link w:val="ItalicsBodyTextChar"/>
    <w:uiPriority w:val="1"/>
    <w:qFormat/>
    <w:rsid w:val="002C2D5C"/>
    <w:rPr>
      <w:i/>
    </w:rPr>
  </w:style>
  <w:style w:type="character" w:customStyle="1" w:styleId="UnderlineBodyTextChar">
    <w:name w:val="Underline Body Text Char"/>
    <w:basedOn w:val="BodyTextChar"/>
    <w:link w:val="UnderlineBodyText"/>
    <w:uiPriority w:val="1"/>
    <w:rsid w:val="002C2D5C"/>
    <w:rPr>
      <w:kern w:val="18"/>
      <w:u w:val="single"/>
    </w:rPr>
  </w:style>
  <w:style w:type="character" w:customStyle="1" w:styleId="ItalicsBodyTextChar">
    <w:name w:val="Italics Body Text Char"/>
    <w:basedOn w:val="BodyTextChar"/>
    <w:link w:val="ItalicsBodyText"/>
    <w:uiPriority w:val="1"/>
    <w:rsid w:val="002C2D5C"/>
    <w:rPr>
      <w:i/>
      <w:kern w:val="18"/>
    </w:rPr>
  </w:style>
  <w:style w:type="character" w:customStyle="1" w:styleId="UnresolvedMention1">
    <w:name w:val="Unresolved Mention1"/>
    <w:basedOn w:val="DefaultParagraphFont"/>
    <w:uiPriority w:val="99"/>
    <w:semiHidden/>
    <w:unhideWhenUsed/>
    <w:rsid w:val="002C2D5C"/>
    <w:rPr>
      <w:color w:val="605E5C"/>
      <w:shd w:val="clear" w:color="auto" w:fill="E1DFDD"/>
    </w:rPr>
  </w:style>
  <w:style w:type="character" w:customStyle="1" w:styleId="SourceChar">
    <w:name w:val="Source Char"/>
    <w:basedOn w:val="DefaultParagraphFont"/>
    <w:link w:val="Source"/>
    <w:uiPriority w:val="25"/>
    <w:rsid w:val="002C2D5C"/>
    <w:rPr>
      <w:i/>
      <w:kern w:val="18"/>
      <w:sz w:val="16"/>
      <w:lang w:val="en-US"/>
    </w:rPr>
  </w:style>
  <w:style w:type="table" w:customStyle="1" w:styleId="Style1">
    <w:name w:val="Style1"/>
    <w:basedOn w:val="TableNormal"/>
    <w:uiPriority w:val="99"/>
    <w:rsid w:val="002C2D5C"/>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tblPr/>
      <w:tcPr>
        <w:shd w:val="clear" w:color="auto" w:fill="000000" w:themeFill="text1"/>
      </w:tcPr>
    </w:tblStylePr>
  </w:style>
  <w:style w:type="table" w:customStyle="1" w:styleId="TableGrid30">
    <w:name w:val="Table Grid3"/>
    <w:basedOn w:val="TableNormal"/>
    <w:next w:val="TableGrid"/>
    <w:uiPriority w:val="59"/>
    <w:unhideWhenUsed/>
    <w:rsid w:val="002C2D5C"/>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character" w:customStyle="1" w:styleId="UnresolvedMention2">
    <w:name w:val="Unresolved Mention2"/>
    <w:basedOn w:val="DefaultParagraphFont"/>
    <w:uiPriority w:val="99"/>
    <w:semiHidden/>
    <w:unhideWhenUsed/>
    <w:rsid w:val="002C2D5C"/>
    <w:rPr>
      <w:color w:val="605E5C"/>
      <w:shd w:val="clear" w:color="auto" w:fill="E1DFDD"/>
    </w:rPr>
  </w:style>
  <w:style w:type="paragraph" w:customStyle="1" w:styleId="Numberedtext">
    <w:name w:val="Numbered text"/>
    <w:basedOn w:val="BodyText"/>
    <w:uiPriority w:val="2"/>
    <w:qFormat/>
    <w:rsid w:val="00B74AE8"/>
    <w:pPr>
      <w:tabs>
        <w:tab w:val="num" w:pos="360"/>
      </w:tabs>
      <w:spacing w:before="0" w:line="240" w:lineRule="atLeast"/>
    </w:pPr>
    <w:rPr>
      <w:rFonts w:asciiTheme="minorHAnsi" w:eastAsiaTheme="minorHAnsi" w:hAnsiTheme="minorHAnsi" w:cstheme="minorBidi"/>
      <w:color w:val="auto"/>
      <w:kern w:val="18"/>
      <w:sz w:val="20"/>
      <w:szCs w:val="18"/>
      <w:lang w:eastAsia="en-US"/>
    </w:rPr>
  </w:style>
  <w:style w:type="numbering" w:customStyle="1" w:styleId="NoList1">
    <w:name w:val="No List1"/>
    <w:next w:val="NoList"/>
    <w:uiPriority w:val="99"/>
    <w:semiHidden/>
    <w:unhideWhenUsed/>
    <w:rsid w:val="00826421"/>
  </w:style>
  <w:style w:type="numbering" w:customStyle="1" w:styleId="AECOMBullets1">
    <w:name w:val="AECOM_Bullets1"/>
    <w:basedOn w:val="NoList"/>
    <w:uiPriority w:val="99"/>
    <w:semiHidden/>
    <w:unhideWhenUsed/>
    <w:rsid w:val="00826421"/>
  </w:style>
  <w:style w:type="numbering" w:customStyle="1" w:styleId="AECOMList1">
    <w:name w:val="AECOM_List1"/>
    <w:basedOn w:val="NoList"/>
    <w:uiPriority w:val="99"/>
    <w:semiHidden/>
    <w:unhideWhenUsed/>
    <w:rsid w:val="00826421"/>
  </w:style>
  <w:style w:type="table" w:customStyle="1" w:styleId="TableGrid40">
    <w:name w:val="Table Grid4"/>
    <w:basedOn w:val="TableNormal"/>
    <w:next w:val="TableGrid"/>
    <w:uiPriority w:val="59"/>
    <w:unhideWhenUsed/>
    <w:rsid w:val="00826421"/>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2">
    <w:name w:val="AECOM table2"/>
    <w:basedOn w:val="TableNormal"/>
    <w:uiPriority w:val="99"/>
    <w:unhideWhenUsed/>
    <w:rsid w:val="00826421"/>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table" w:customStyle="1" w:styleId="ColorfulGrid1">
    <w:name w:val="Colorful Grid1"/>
    <w:basedOn w:val="TableNormal"/>
    <w:next w:val="ColorfulGrid"/>
    <w:uiPriority w:val="73"/>
    <w:semiHidden/>
    <w:unhideWhenUsed/>
    <w:rsid w:val="0082642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semiHidden/>
    <w:unhideWhenUsed/>
    <w:rsid w:val="00826421"/>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customStyle="1" w:styleId="ColorfulGrid-Accent21">
    <w:name w:val="Colorful Grid - Accent 21"/>
    <w:basedOn w:val="TableNormal"/>
    <w:next w:val="ColorfulGrid-Accent2"/>
    <w:uiPriority w:val="73"/>
    <w:semiHidden/>
    <w:unhideWhenUsed/>
    <w:rsid w:val="00826421"/>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customStyle="1" w:styleId="ColorfulGrid-Accent31">
    <w:name w:val="Colorful Grid - Accent 31"/>
    <w:basedOn w:val="TableNormal"/>
    <w:next w:val="ColorfulGrid-Accent3"/>
    <w:uiPriority w:val="73"/>
    <w:semiHidden/>
    <w:unhideWhenUsed/>
    <w:rsid w:val="00826421"/>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customStyle="1" w:styleId="ColorfulGrid-Accent41">
    <w:name w:val="Colorful Grid - Accent 41"/>
    <w:basedOn w:val="TableNormal"/>
    <w:next w:val="ColorfulGrid-Accent4"/>
    <w:uiPriority w:val="73"/>
    <w:semiHidden/>
    <w:unhideWhenUsed/>
    <w:rsid w:val="00826421"/>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customStyle="1" w:styleId="ColorfulGrid-Accent51">
    <w:name w:val="Colorful Grid - Accent 51"/>
    <w:basedOn w:val="TableNormal"/>
    <w:next w:val="ColorfulGrid-Accent5"/>
    <w:uiPriority w:val="73"/>
    <w:semiHidden/>
    <w:unhideWhenUsed/>
    <w:rsid w:val="00826421"/>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customStyle="1" w:styleId="ColorfulGrid-Accent61">
    <w:name w:val="Colorful Grid - Accent 61"/>
    <w:basedOn w:val="TableNormal"/>
    <w:next w:val="ColorfulGrid-Accent6"/>
    <w:uiPriority w:val="73"/>
    <w:semiHidden/>
    <w:unhideWhenUsed/>
    <w:rsid w:val="00826421"/>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customStyle="1" w:styleId="ColorfulList1">
    <w:name w:val="Colorful List1"/>
    <w:basedOn w:val="TableNormal"/>
    <w:next w:val="ColorfulList"/>
    <w:uiPriority w:val="72"/>
    <w:semiHidden/>
    <w:unhideWhenUsed/>
    <w:rsid w:val="0082642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semiHidden/>
    <w:unhideWhenUsed/>
    <w:rsid w:val="00826421"/>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customStyle="1" w:styleId="ColorfulList-Accent21">
    <w:name w:val="Colorful List - Accent 21"/>
    <w:basedOn w:val="TableNormal"/>
    <w:next w:val="ColorfulList-Accent2"/>
    <w:uiPriority w:val="72"/>
    <w:semiHidden/>
    <w:unhideWhenUsed/>
    <w:rsid w:val="00826421"/>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customStyle="1" w:styleId="ColorfulList-Accent31">
    <w:name w:val="Colorful List - Accent 31"/>
    <w:basedOn w:val="TableNormal"/>
    <w:next w:val="ColorfulList-Accent3"/>
    <w:uiPriority w:val="72"/>
    <w:semiHidden/>
    <w:unhideWhenUsed/>
    <w:rsid w:val="00826421"/>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customStyle="1" w:styleId="ColorfulList-Accent41">
    <w:name w:val="Colorful List - Accent 41"/>
    <w:basedOn w:val="TableNormal"/>
    <w:next w:val="ColorfulList-Accent4"/>
    <w:uiPriority w:val="72"/>
    <w:semiHidden/>
    <w:unhideWhenUsed/>
    <w:rsid w:val="00826421"/>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customStyle="1" w:styleId="ColorfulList-Accent51">
    <w:name w:val="Colorful List - Accent 51"/>
    <w:basedOn w:val="TableNormal"/>
    <w:next w:val="ColorfulList-Accent5"/>
    <w:uiPriority w:val="72"/>
    <w:semiHidden/>
    <w:unhideWhenUsed/>
    <w:rsid w:val="00826421"/>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customStyle="1" w:styleId="ColorfulList-Accent61">
    <w:name w:val="Colorful List - Accent 61"/>
    <w:basedOn w:val="TableNormal"/>
    <w:next w:val="ColorfulList-Accent6"/>
    <w:uiPriority w:val="72"/>
    <w:semiHidden/>
    <w:unhideWhenUsed/>
    <w:rsid w:val="00826421"/>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customStyle="1" w:styleId="ColorfulShading1">
    <w:name w:val="Colorful Shading1"/>
    <w:basedOn w:val="TableNormal"/>
    <w:next w:val="ColorfulShading"/>
    <w:uiPriority w:val="71"/>
    <w:semiHidden/>
    <w:unhideWhenUsed/>
    <w:rsid w:val="00826421"/>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semiHidden/>
    <w:unhideWhenUsed/>
    <w:rsid w:val="00826421"/>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semiHidden/>
    <w:unhideWhenUsed/>
    <w:rsid w:val="00826421"/>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semiHidden/>
    <w:unhideWhenUsed/>
    <w:rsid w:val="00826421"/>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customStyle="1" w:styleId="ColorfulShading-Accent41">
    <w:name w:val="Colorful Shading - Accent 41"/>
    <w:basedOn w:val="TableNormal"/>
    <w:next w:val="ColorfulShading-Accent4"/>
    <w:uiPriority w:val="71"/>
    <w:semiHidden/>
    <w:unhideWhenUsed/>
    <w:rsid w:val="00826421"/>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semiHidden/>
    <w:unhideWhenUsed/>
    <w:rsid w:val="00826421"/>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semiHidden/>
    <w:unhideWhenUsed/>
    <w:rsid w:val="00826421"/>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semiHidden/>
    <w:unhideWhenUsed/>
    <w:rsid w:val="0082642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semiHidden/>
    <w:unhideWhenUsed/>
    <w:rsid w:val="00826421"/>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customStyle="1" w:styleId="DarkList-Accent21">
    <w:name w:val="Dark List - Accent 21"/>
    <w:basedOn w:val="TableNormal"/>
    <w:next w:val="DarkList-Accent2"/>
    <w:uiPriority w:val="70"/>
    <w:semiHidden/>
    <w:unhideWhenUsed/>
    <w:rsid w:val="00826421"/>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customStyle="1" w:styleId="DarkList-Accent31">
    <w:name w:val="Dark List - Accent 31"/>
    <w:basedOn w:val="TableNormal"/>
    <w:next w:val="DarkList-Accent3"/>
    <w:uiPriority w:val="70"/>
    <w:semiHidden/>
    <w:unhideWhenUsed/>
    <w:rsid w:val="00826421"/>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customStyle="1" w:styleId="DarkList-Accent41">
    <w:name w:val="Dark List - Accent 41"/>
    <w:basedOn w:val="TableNormal"/>
    <w:next w:val="DarkList-Accent4"/>
    <w:uiPriority w:val="70"/>
    <w:semiHidden/>
    <w:unhideWhenUsed/>
    <w:rsid w:val="00826421"/>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customStyle="1" w:styleId="DarkList-Accent51">
    <w:name w:val="Dark List - Accent 51"/>
    <w:basedOn w:val="TableNormal"/>
    <w:next w:val="DarkList-Accent5"/>
    <w:uiPriority w:val="70"/>
    <w:semiHidden/>
    <w:unhideWhenUsed/>
    <w:rsid w:val="00826421"/>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customStyle="1" w:styleId="DarkList-Accent61">
    <w:name w:val="Dark List - Accent 61"/>
    <w:basedOn w:val="TableNormal"/>
    <w:next w:val="DarkList-Accent6"/>
    <w:uiPriority w:val="70"/>
    <w:semiHidden/>
    <w:unhideWhenUsed/>
    <w:rsid w:val="00826421"/>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customStyle="1" w:styleId="LightGrid1">
    <w:name w:val="Light Grid1"/>
    <w:basedOn w:val="TableNormal"/>
    <w:next w:val="LightGrid"/>
    <w:uiPriority w:val="62"/>
    <w:semiHidden/>
    <w:unhideWhenUsed/>
    <w:rsid w:val="008264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826421"/>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customStyle="1" w:styleId="LightGrid-Accent21">
    <w:name w:val="Light Grid - Accent 21"/>
    <w:basedOn w:val="TableNormal"/>
    <w:next w:val="LightGrid-Accent2"/>
    <w:uiPriority w:val="62"/>
    <w:semiHidden/>
    <w:unhideWhenUsed/>
    <w:rsid w:val="00826421"/>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customStyle="1" w:styleId="LightGrid-Accent31">
    <w:name w:val="Light Grid - Accent 31"/>
    <w:basedOn w:val="TableNormal"/>
    <w:next w:val="LightGrid-Accent3"/>
    <w:uiPriority w:val="62"/>
    <w:semiHidden/>
    <w:unhideWhenUsed/>
    <w:rsid w:val="00826421"/>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customStyle="1" w:styleId="LightGrid-Accent41">
    <w:name w:val="Light Grid - Accent 41"/>
    <w:basedOn w:val="TableNormal"/>
    <w:next w:val="LightGrid-Accent4"/>
    <w:uiPriority w:val="62"/>
    <w:semiHidden/>
    <w:unhideWhenUsed/>
    <w:rsid w:val="00826421"/>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customStyle="1" w:styleId="LightGrid-Accent51">
    <w:name w:val="Light Grid - Accent 51"/>
    <w:basedOn w:val="TableNormal"/>
    <w:next w:val="LightGrid-Accent5"/>
    <w:uiPriority w:val="62"/>
    <w:semiHidden/>
    <w:unhideWhenUsed/>
    <w:rsid w:val="00826421"/>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customStyle="1" w:styleId="LightGrid-Accent61">
    <w:name w:val="Light Grid - Accent 61"/>
    <w:basedOn w:val="TableNormal"/>
    <w:next w:val="LightGrid-Accent6"/>
    <w:uiPriority w:val="62"/>
    <w:semiHidden/>
    <w:unhideWhenUsed/>
    <w:rsid w:val="00826421"/>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customStyle="1" w:styleId="LightList1">
    <w:name w:val="Light List1"/>
    <w:basedOn w:val="TableNormal"/>
    <w:next w:val="LightList"/>
    <w:uiPriority w:val="61"/>
    <w:semiHidden/>
    <w:unhideWhenUsed/>
    <w:rsid w:val="008264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semiHidden/>
    <w:unhideWhenUsed/>
    <w:rsid w:val="00826421"/>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customStyle="1" w:styleId="LightList-Accent21">
    <w:name w:val="Light List - Accent 21"/>
    <w:basedOn w:val="TableNormal"/>
    <w:next w:val="LightList-Accent2"/>
    <w:uiPriority w:val="61"/>
    <w:semiHidden/>
    <w:unhideWhenUsed/>
    <w:rsid w:val="00826421"/>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customStyle="1" w:styleId="LightList-Accent31">
    <w:name w:val="Light List - Accent 31"/>
    <w:basedOn w:val="TableNormal"/>
    <w:next w:val="LightList-Accent3"/>
    <w:uiPriority w:val="61"/>
    <w:semiHidden/>
    <w:unhideWhenUsed/>
    <w:rsid w:val="00826421"/>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customStyle="1" w:styleId="LightList-Accent41">
    <w:name w:val="Light List - Accent 41"/>
    <w:basedOn w:val="TableNormal"/>
    <w:next w:val="LightList-Accent4"/>
    <w:uiPriority w:val="61"/>
    <w:semiHidden/>
    <w:unhideWhenUsed/>
    <w:rsid w:val="00826421"/>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customStyle="1" w:styleId="LightList-Accent51">
    <w:name w:val="Light List - Accent 51"/>
    <w:basedOn w:val="TableNormal"/>
    <w:next w:val="LightList-Accent5"/>
    <w:uiPriority w:val="61"/>
    <w:semiHidden/>
    <w:unhideWhenUsed/>
    <w:rsid w:val="00826421"/>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customStyle="1" w:styleId="LightList-Accent61">
    <w:name w:val="Light List - Accent 61"/>
    <w:basedOn w:val="TableNormal"/>
    <w:next w:val="LightList-Accent6"/>
    <w:uiPriority w:val="61"/>
    <w:semiHidden/>
    <w:unhideWhenUsed/>
    <w:rsid w:val="00826421"/>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customStyle="1" w:styleId="LightShading1">
    <w:name w:val="Light Shading1"/>
    <w:basedOn w:val="TableNormal"/>
    <w:next w:val="LightShading"/>
    <w:uiPriority w:val="60"/>
    <w:semiHidden/>
    <w:unhideWhenUsed/>
    <w:rsid w:val="008264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semiHidden/>
    <w:unhideWhenUsed/>
    <w:rsid w:val="00826421"/>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customStyle="1" w:styleId="LightShading-Accent21">
    <w:name w:val="Light Shading - Accent 21"/>
    <w:basedOn w:val="TableNormal"/>
    <w:next w:val="LightShading-Accent2"/>
    <w:uiPriority w:val="60"/>
    <w:semiHidden/>
    <w:unhideWhenUsed/>
    <w:rsid w:val="00826421"/>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customStyle="1" w:styleId="LightShading-Accent31">
    <w:name w:val="Light Shading - Accent 31"/>
    <w:basedOn w:val="TableNormal"/>
    <w:next w:val="LightShading-Accent3"/>
    <w:uiPriority w:val="60"/>
    <w:semiHidden/>
    <w:unhideWhenUsed/>
    <w:rsid w:val="00826421"/>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customStyle="1" w:styleId="LightShading-Accent41">
    <w:name w:val="Light Shading - Accent 41"/>
    <w:basedOn w:val="TableNormal"/>
    <w:next w:val="LightShading-Accent4"/>
    <w:uiPriority w:val="60"/>
    <w:semiHidden/>
    <w:unhideWhenUsed/>
    <w:rsid w:val="00826421"/>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customStyle="1" w:styleId="LightShading-Accent51">
    <w:name w:val="Light Shading - Accent 51"/>
    <w:basedOn w:val="TableNormal"/>
    <w:next w:val="LightShading-Accent5"/>
    <w:uiPriority w:val="60"/>
    <w:semiHidden/>
    <w:unhideWhenUsed/>
    <w:rsid w:val="00826421"/>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customStyle="1" w:styleId="LightShading-Accent61">
    <w:name w:val="Light Shading - Accent 61"/>
    <w:basedOn w:val="TableNormal"/>
    <w:next w:val="LightShading-Accent6"/>
    <w:uiPriority w:val="60"/>
    <w:semiHidden/>
    <w:unhideWhenUsed/>
    <w:rsid w:val="00826421"/>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customStyle="1" w:styleId="MediumGrid11">
    <w:name w:val="Medium Grid 11"/>
    <w:basedOn w:val="TableNormal"/>
    <w:next w:val="MediumGrid1"/>
    <w:uiPriority w:val="67"/>
    <w:semiHidden/>
    <w:unhideWhenUsed/>
    <w:rsid w:val="008264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semiHidden/>
    <w:unhideWhenUsed/>
    <w:rsid w:val="00826421"/>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customStyle="1" w:styleId="MediumGrid1-Accent21">
    <w:name w:val="Medium Grid 1 - Accent 21"/>
    <w:basedOn w:val="TableNormal"/>
    <w:next w:val="MediumGrid1-Accent2"/>
    <w:uiPriority w:val="67"/>
    <w:semiHidden/>
    <w:unhideWhenUsed/>
    <w:rsid w:val="00826421"/>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customStyle="1" w:styleId="MediumGrid1-Accent31">
    <w:name w:val="Medium Grid 1 - Accent 31"/>
    <w:basedOn w:val="TableNormal"/>
    <w:next w:val="MediumGrid1-Accent3"/>
    <w:uiPriority w:val="67"/>
    <w:semiHidden/>
    <w:unhideWhenUsed/>
    <w:rsid w:val="00826421"/>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customStyle="1" w:styleId="MediumGrid1-Accent41">
    <w:name w:val="Medium Grid 1 - Accent 41"/>
    <w:basedOn w:val="TableNormal"/>
    <w:next w:val="MediumGrid1-Accent4"/>
    <w:uiPriority w:val="67"/>
    <w:semiHidden/>
    <w:unhideWhenUsed/>
    <w:rsid w:val="00826421"/>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customStyle="1" w:styleId="MediumGrid1-Accent51">
    <w:name w:val="Medium Grid 1 - Accent 51"/>
    <w:basedOn w:val="TableNormal"/>
    <w:next w:val="MediumGrid1-Accent5"/>
    <w:uiPriority w:val="67"/>
    <w:semiHidden/>
    <w:unhideWhenUsed/>
    <w:rsid w:val="00826421"/>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customStyle="1" w:styleId="MediumGrid1-Accent61">
    <w:name w:val="Medium Grid 1 - Accent 61"/>
    <w:basedOn w:val="TableNormal"/>
    <w:next w:val="MediumGrid1-Accent6"/>
    <w:uiPriority w:val="67"/>
    <w:semiHidden/>
    <w:unhideWhenUsed/>
    <w:rsid w:val="00826421"/>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customStyle="1" w:styleId="MediumGrid21">
    <w:name w:val="Medium Grid 21"/>
    <w:basedOn w:val="TableNormal"/>
    <w:next w:val="MediumGrid2"/>
    <w:uiPriority w:val="68"/>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unhideWhenUsed/>
    <w:rsid w:val="008264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semiHidden/>
    <w:unhideWhenUsed/>
    <w:rsid w:val="008264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customStyle="1" w:styleId="MediumGrid3-Accent21">
    <w:name w:val="Medium Grid 3 - Accent 21"/>
    <w:basedOn w:val="TableNormal"/>
    <w:next w:val="MediumGrid3-Accent2"/>
    <w:uiPriority w:val="69"/>
    <w:semiHidden/>
    <w:unhideWhenUsed/>
    <w:rsid w:val="008264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customStyle="1" w:styleId="MediumGrid3-Accent31">
    <w:name w:val="Medium Grid 3 - Accent 31"/>
    <w:basedOn w:val="TableNormal"/>
    <w:next w:val="MediumGrid3-Accent3"/>
    <w:uiPriority w:val="69"/>
    <w:semiHidden/>
    <w:unhideWhenUsed/>
    <w:rsid w:val="008264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customStyle="1" w:styleId="MediumGrid3-Accent41">
    <w:name w:val="Medium Grid 3 - Accent 41"/>
    <w:basedOn w:val="TableNormal"/>
    <w:next w:val="MediumGrid3-Accent4"/>
    <w:uiPriority w:val="69"/>
    <w:semiHidden/>
    <w:unhideWhenUsed/>
    <w:rsid w:val="008264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customStyle="1" w:styleId="MediumGrid3-Accent51">
    <w:name w:val="Medium Grid 3 - Accent 51"/>
    <w:basedOn w:val="TableNormal"/>
    <w:next w:val="MediumGrid3-Accent5"/>
    <w:uiPriority w:val="69"/>
    <w:semiHidden/>
    <w:unhideWhenUsed/>
    <w:rsid w:val="008264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customStyle="1" w:styleId="MediumGrid3-Accent61">
    <w:name w:val="Medium Grid 3 - Accent 61"/>
    <w:basedOn w:val="TableNormal"/>
    <w:next w:val="MediumGrid3-Accent6"/>
    <w:uiPriority w:val="69"/>
    <w:semiHidden/>
    <w:unhideWhenUsed/>
    <w:rsid w:val="008264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customStyle="1" w:styleId="MediumList11">
    <w:name w:val="Medium List 11"/>
    <w:basedOn w:val="TableNormal"/>
    <w:next w:val="MediumList1"/>
    <w:uiPriority w:val="65"/>
    <w:semiHidden/>
    <w:unhideWhenUsed/>
    <w:rsid w:val="0082642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semiHidden/>
    <w:unhideWhenUsed/>
    <w:rsid w:val="00826421"/>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customStyle="1" w:styleId="MediumList1-Accent21">
    <w:name w:val="Medium List 1 - Accent 21"/>
    <w:basedOn w:val="TableNormal"/>
    <w:next w:val="MediumList1-Accent2"/>
    <w:uiPriority w:val="65"/>
    <w:semiHidden/>
    <w:unhideWhenUsed/>
    <w:rsid w:val="00826421"/>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customStyle="1" w:styleId="MediumList1-Accent31">
    <w:name w:val="Medium List 1 - Accent 31"/>
    <w:basedOn w:val="TableNormal"/>
    <w:next w:val="MediumList1-Accent3"/>
    <w:uiPriority w:val="65"/>
    <w:semiHidden/>
    <w:unhideWhenUsed/>
    <w:rsid w:val="00826421"/>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customStyle="1" w:styleId="MediumList1-Accent41">
    <w:name w:val="Medium List 1 - Accent 41"/>
    <w:basedOn w:val="TableNormal"/>
    <w:next w:val="MediumList1-Accent4"/>
    <w:uiPriority w:val="65"/>
    <w:semiHidden/>
    <w:unhideWhenUsed/>
    <w:rsid w:val="00826421"/>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customStyle="1" w:styleId="MediumList1-Accent51">
    <w:name w:val="Medium List 1 - Accent 51"/>
    <w:basedOn w:val="TableNormal"/>
    <w:next w:val="MediumList1-Accent5"/>
    <w:uiPriority w:val="65"/>
    <w:semiHidden/>
    <w:unhideWhenUsed/>
    <w:rsid w:val="00826421"/>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customStyle="1" w:styleId="MediumList1-Accent61">
    <w:name w:val="Medium List 1 - Accent 61"/>
    <w:basedOn w:val="TableNormal"/>
    <w:next w:val="MediumList1-Accent6"/>
    <w:uiPriority w:val="65"/>
    <w:semiHidden/>
    <w:unhideWhenUsed/>
    <w:rsid w:val="00826421"/>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customStyle="1" w:styleId="MediumList21">
    <w:name w:val="Medium List 21"/>
    <w:basedOn w:val="TableNormal"/>
    <w:next w:val="MediumList2"/>
    <w:uiPriority w:val="66"/>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826421"/>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8264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826421"/>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826421"/>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826421"/>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826421"/>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826421"/>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826421"/>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8264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8264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8264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8264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8264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8264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8264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26421"/>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26421"/>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26421"/>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26421"/>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26421"/>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26421"/>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26421"/>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26421"/>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26421"/>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26421"/>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26421"/>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26421"/>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26421"/>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26421"/>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26421"/>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26421"/>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26421"/>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26421"/>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
    <w:uiPriority w:val="99"/>
    <w:semiHidden/>
    <w:unhideWhenUsed/>
    <w:rsid w:val="00826421"/>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26421"/>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26421"/>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26421"/>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26421"/>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26421"/>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26421"/>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26421"/>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26421"/>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26421"/>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26421"/>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26421"/>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26421"/>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26421"/>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26421"/>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26421"/>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26421"/>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826421"/>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26421"/>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26421"/>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26421"/>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2642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26421"/>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26421"/>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26421"/>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AECOMNumbering1">
    <w:name w:val="AECOM Numbering1"/>
    <w:basedOn w:val="NoList"/>
    <w:uiPriority w:val="99"/>
    <w:semiHidden/>
    <w:unhideWhenUsed/>
    <w:rsid w:val="00826421"/>
  </w:style>
  <w:style w:type="numbering" w:customStyle="1" w:styleId="AECOMAppendix1">
    <w:name w:val="AECOM Appendix1"/>
    <w:uiPriority w:val="99"/>
    <w:semiHidden/>
    <w:unhideWhenUsed/>
    <w:rsid w:val="00826421"/>
  </w:style>
  <w:style w:type="table" w:customStyle="1" w:styleId="Plaingrid1">
    <w:name w:val="Plain grid1"/>
    <w:basedOn w:val="TableNormal"/>
    <w:uiPriority w:val="99"/>
    <w:semiHidden/>
    <w:unhideWhenUsed/>
    <w:rsid w:val="00826421"/>
    <w:tblPr>
      <w:tblCellMar>
        <w:left w:w="0" w:type="dxa"/>
      </w:tblCellMar>
    </w:tblPr>
  </w:style>
  <w:style w:type="table" w:customStyle="1" w:styleId="Tablenoborders1">
    <w:name w:val="Table no borders1"/>
    <w:basedOn w:val="TableNormal"/>
    <w:uiPriority w:val="99"/>
    <w:semiHidden/>
    <w:unhideWhenUsed/>
    <w:rsid w:val="00826421"/>
    <w:tblPr>
      <w:tblCellMar>
        <w:left w:w="0" w:type="dxa"/>
        <w:right w:w="0" w:type="dxa"/>
      </w:tblCellMar>
    </w:tblPr>
  </w:style>
  <w:style w:type="table" w:customStyle="1" w:styleId="AECOMcolouredtable1">
    <w:name w:val="AECOM coloured table1"/>
    <w:basedOn w:val="TableNormal"/>
    <w:uiPriority w:val="99"/>
    <w:semiHidden/>
    <w:unhideWhenUsed/>
    <w:rsid w:val="00826421"/>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table" w:customStyle="1" w:styleId="AECOMtable11">
    <w:name w:val="AECOM table11"/>
    <w:basedOn w:val="TableNormal"/>
    <w:uiPriority w:val="99"/>
    <w:unhideWhenUsed/>
    <w:rsid w:val="00826421"/>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table" w:customStyle="1" w:styleId="TableGrid110">
    <w:name w:val="Table Grid11"/>
    <w:basedOn w:val="TableNormal"/>
    <w:next w:val="TableGrid"/>
    <w:uiPriority w:val="59"/>
    <w:unhideWhenUsed/>
    <w:rsid w:val="00826421"/>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Style111">
    <w:name w:val="Style111"/>
    <w:basedOn w:val="TableNormal"/>
    <w:uiPriority w:val="99"/>
    <w:rsid w:val="00826421"/>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tblPr/>
      <w:tcPr>
        <w:shd w:val="clear" w:color="auto" w:fill="000000"/>
      </w:tcPr>
    </w:tblStylePr>
  </w:style>
  <w:style w:type="table" w:customStyle="1" w:styleId="TableGrid22">
    <w:name w:val="Table Grid22"/>
    <w:basedOn w:val="TableNormal"/>
    <w:next w:val="TableGrid"/>
    <w:uiPriority w:val="59"/>
    <w:unhideWhenUsed/>
    <w:rsid w:val="00826421"/>
    <w:rPr>
      <w:rFonts w:eastAsia="SimSu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ListTable311">
    <w:name w:val="List Table 311"/>
    <w:basedOn w:val="TableNormal"/>
    <w:uiPriority w:val="48"/>
    <w:rsid w:val="0082642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1">
    <w:name w:val="Table Grid211"/>
    <w:basedOn w:val="TableNormal"/>
    <w:next w:val="TableGrid"/>
    <w:uiPriority w:val="59"/>
    <w:unhideWhenUsed/>
    <w:rsid w:val="00826421"/>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Style12">
    <w:name w:val="Style12"/>
    <w:basedOn w:val="TableNormal"/>
    <w:uiPriority w:val="99"/>
    <w:rsid w:val="00826421"/>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tblPr/>
      <w:tcPr>
        <w:shd w:val="clear" w:color="auto" w:fill="000000" w:themeFill="text1"/>
      </w:tcPr>
    </w:tblStylePr>
  </w:style>
  <w:style w:type="table" w:customStyle="1" w:styleId="TableGrid310">
    <w:name w:val="Table Grid31"/>
    <w:basedOn w:val="TableNormal"/>
    <w:next w:val="TableGrid"/>
    <w:uiPriority w:val="59"/>
    <w:unhideWhenUsed/>
    <w:rsid w:val="00826421"/>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TableGrid23">
    <w:name w:val="Table Grid23"/>
    <w:basedOn w:val="TableNormal"/>
    <w:next w:val="TableGrid"/>
    <w:uiPriority w:val="39"/>
    <w:rsid w:val="007357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2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2967">
      <w:bodyDiv w:val="1"/>
      <w:marLeft w:val="0"/>
      <w:marRight w:val="0"/>
      <w:marTop w:val="0"/>
      <w:marBottom w:val="0"/>
      <w:divBdr>
        <w:top w:val="none" w:sz="0" w:space="0" w:color="auto"/>
        <w:left w:val="none" w:sz="0" w:space="0" w:color="auto"/>
        <w:bottom w:val="none" w:sz="0" w:space="0" w:color="auto"/>
        <w:right w:val="none" w:sz="0" w:space="0" w:color="auto"/>
      </w:divBdr>
    </w:div>
    <w:div w:id="57675456">
      <w:bodyDiv w:val="1"/>
      <w:marLeft w:val="0"/>
      <w:marRight w:val="0"/>
      <w:marTop w:val="0"/>
      <w:marBottom w:val="0"/>
      <w:divBdr>
        <w:top w:val="none" w:sz="0" w:space="0" w:color="auto"/>
        <w:left w:val="none" w:sz="0" w:space="0" w:color="auto"/>
        <w:bottom w:val="none" w:sz="0" w:space="0" w:color="auto"/>
        <w:right w:val="none" w:sz="0" w:space="0" w:color="auto"/>
      </w:divBdr>
      <w:divsChild>
        <w:div w:id="145706747">
          <w:marLeft w:val="0"/>
          <w:marRight w:val="0"/>
          <w:marTop w:val="0"/>
          <w:marBottom w:val="0"/>
          <w:divBdr>
            <w:top w:val="none" w:sz="0" w:space="0" w:color="auto"/>
            <w:left w:val="none" w:sz="0" w:space="0" w:color="auto"/>
            <w:bottom w:val="none" w:sz="0" w:space="0" w:color="auto"/>
            <w:right w:val="none" w:sz="0" w:space="0" w:color="auto"/>
          </w:divBdr>
        </w:div>
      </w:divsChild>
    </w:div>
    <w:div w:id="73355564">
      <w:bodyDiv w:val="1"/>
      <w:marLeft w:val="0"/>
      <w:marRight w:val="0"/>
      <w:marTop w:val="0"/>
      <w:marBottom w:val="0"/>
      <w:divBdr>
        <w:top w:val="none" w:sz="0" w:space="0" w:color="auto"/>
        <w:left w:val="none" w:sz="0" w:space="0" w:color="auto"/>
        <w:bottom w:val="none" w:sz="0" w:space="0" w:color="auto"/>
        <w:right w:val="none" w:sz="0" w:space="0" w:color="auto"/>
      </w:divBdr>
    </w:div>
    <w:div w:id="80101265">
      <w:bodyDiv w:val="1"/>
      <w:marLeft w:val="0"/>
      <w:marRight w:val="0"/>
      <w:marTop w:val="0"/>
      <w:marBottom w:val="0"/>
      <w:divBdr>
        <w:top w:val="none" w:sz="0" w:space="0" w:color="auto"/>
        <w:left w:val="none" w:sz="0" w:space="0" w:color="auto"/>
        <w:bottom w:val="none" w:sz="0" w:space="0" w:color="auto"/>
        <w:right w:val="none" w:sz="0" w:space="0" w:color="auto"/>
      </w:divBdr>
    </w:div>
    <w:div w:id="124741734">
      <w:bodyDiv w:val="1"/>
      <w:marLeft w:val="0"/>
      <w:marRight w:val="0"/>
      <w:marTop w:val="0"/>
      <w:marBottom w:val="0"/>
      <w:divBdr>
        <w:top w:val="none" w:sz="0" w:space="0" w:color="auto"/>
        <w:left w:val="none" w:sz="0" w:space="0" w:color="auto"/>
        <w:bottom w:val="none" w:sz="0" w:space="0" w:color="auto"/>
        <w:right w:val="none" w:sz="0" w:space="0" w:color="auto"/>
      </w:divBdr>
    </w:div>
    <w:div w:id="141973284">
      <w:bodyDiv w:val="1"/>
      <w:marLeft w:val="0"/>
      <w:marRight w:val="0"/>
      <w:marTop w:val="0"/>
      <w:marBottom w:val="0"/>
      <w:divBdr>
        <w:top w:val="none" w:sz="0" w:space="0" w:color="auto"/>
        <w:left w:val="none" w:sz="0" w:space="0" w:color="auto"/>
        <w:bottom w:val="none" w:sz="0" w:space="0" w:color="auto"/>
        <w:right w:val="none" w:sz="0" w:space="0" w:color="auto"/>
      </w:divBdr>
    </w:div>
    <w:div w:id="229388774">
      <w:bodyDiv w:val="1"/>
      <w:marLeft w:val="0"/>
      <w:marRight w:val="0"/>
      <w:marTop w:val="0"/>
      <w:marBottom w:val="0"/>
      <w:divBdr>
        <w:top w:val="none" w:sz="0" w:space="0" w:color="auto"/>
        <w:left w:val="none" w:sz="0" w:space="0" w:color="auto"/>
        <w:bottom w:val="none" w:sz="0" w:space="0" w:color="auto"/>
        <w:right w:val="none" w:sz="0" w:space="0" w:color="auto"/>
      </w:divBdr>
    </w:div>
    <w:div w:id="341707490">
      <w:bodyDiv w:val="1"/>
      <w:marLeft w:val="0"/>
      <w:marRight w:val="0"/>
      <w:marTop w:val="0"/>
      <w:marBottom w:val="0"/>
      <w:divBdr>
        <w:top w:val="none" w:sz="0" w:space="0" w:color="auto"/>
        <w:left w:val="none" w:sz="0" w:space="0" w:color="auto"/>
        <w:bottom w:val="none" w:sz="0" w:space="0" w:color="auto"/>
        <w:right w:val="none" w:sz="0" w:space="0" w:color="auto"/>
      </w:divBdr>
    </w:div>
    <w:div w:id="348802871">
      <w:bodyDiv w:val="1"/>
      <w:marLeft w:val="0"/>
      <w:marRight w:val="0"/>
      <w:marTop w:val="0"/>
      <w:marBottom w:val="0"/>
      <w:divBdr>
        <w:top w:val="none" w:sz="0" w:space="0" w:color="auto"/>
        <w:left w:val="none" w:sz="0" w:space="0" w:color="auto"/>
        <w:bottom w:val="none" w:sz="0" w:space="0" w:color="auto"/>
        <w:right w:val="none" w:sz="0" w:space="0" w:color="auto"/>
      </w:divBdr>
    </w:div>
    <w:div w:id="407968843">
      <w:bodyDiv w:val="1"/>
      <w:marLeft w:val="0"/>
      <w:marRight w:val="0"/>
      <w:marTop w:val="0"/>
      <w:marBottom w:val="0"/>
      <w:divBdr>
        <w:top w:val="none" w:sz="0" w:space="0" w:color="auto"/>
        <w:left w:val="none" w:sz="0" w:space="0" w:color="auto"/>
        <w:bottom w:val="none" w:sz="0" w:space="0" w:color="auto"/>
        <w:right w:val="none" w:sz="0" w:space="0" w:color="auto"/>
      </w:divBdr>
    </w:div>
    <w:div w:id="429010801">
      <w:bodyDiv w:val="1"/>
      <w:marLeft w:val="0"/>
      <w:marRight w:val="0"/>
      <w:marTop w:val="0"/>
      <w:marBottom w:val="0"/>
      <w:divBdr>
        <w:top w:val="none" w:sz="0" w:space="0" w:color="auto"/>
        <w:left w:val="none" w:sz="0" w:space="0" w:color="auto"/>
        <w:bottom w:val="none" w:sz="0" w:space="0" w:color="auto"/>
        <w:right w:val="none" w:sz="0" w:space="0" w:color="auto"/>
      </w:divBdr>
    </w:div>
    <w:div w:id="454056928">
      <w:bodyDiv w:val="1"/>
      <w:marLeft w:val="0"/>
      <w:marRight w:val="0"/>
      <w:marTop w:val="0"/>
      <w:marBottom w:val="0"/>
      <w:divBdr>
        <w:top w:val="none" w:sz="0" w:space="0" w:color="auto"/>
        <w:left w:val="none" w:sz="0" w:space="0" w:color="auto"/>
        <w:bottom w:val="none" w:sz="0" w:space="0" w:color="auto"/>
        <w:right w:val="none" w:sz="0" w:space="0" w:color="auto"/>
      </w:divBdr>
    </w:div>
    <w:div w:id="459225701">
      <w:bodyDiv w:val="1"/>
      <w:marLeft w:val="0"/>
      <w:marRight w:val="0"/>
      <w:marTop w:val="0"/>
      <w:marBottom w:val="0"/>
      <w:divBdr>
        <w:top w:val="none" w:sz="0" w:space="0" w:color="auto"/>
        <w:left w:val="none" w:sz="0" w:space="0" w:color="auto"/>
        <w:bottom w:val="none" w:sz="0" w:space="0" w:color="auto"/>
        <w:right w:val="none" w:sz="0" w:space="0" w:color="auto"/>
      </w:divBdr>
    </w:div>
    <w:div w:id="510343062">
      <w:bodyDiv w:val="1"/>
      <w:marLeft w:val="0"/>
      <w:marRight w:val="0"/>
      <w:marTop w:val="0"/>
      <w:marBottom w:val="0"/>
      <w:divBdr>
        <w:top w:val="none" w:sz="0" w:space="0" w:color="auto"/>
        <w:left w:val="none" w:sz="0" w:space="0" w:color="auto"/>
        <w:bottom w:val="none" w:sz="0" w:space="0" w:color="auto"/>
        <w:right w:val="none" w:sz="0" w:space="0" w:color="auto"/>
      </w:divBdr>
    </w:div>
    <w:div w:id="618922657">
      <w:bodyDiv w:val="1"/>
      <w:marLeft w:val="0"/>
      <w:marRight w:val="0"/>
      <w:marTop w:val="0"/>
      <w:marBottom w:val="0"/>
      <w:divBdr>
        <w:top w:val="none" w:sz="0" w:space="0" w:color="auto"/>
        <w:left w:val="none" w:sz="0" w:space="0" w:color="auto"/>
        <w:bottom w:val="none" w:sz="0" w:space="0" w:color="auto"/>
        <w:right w:val="none" w:sz="0" w:space="0" w:color="auto"/>
      </w:divBdr>
    </w:div>
    <w:div w:id="662704325">
      <w:bodyDiv w:val="1"/>
      <w:marLeft w:val="0"/>
      <w:marRight w:val="0"/>
      <w:marTop w:val="0"/>
      <w:marBottom w:val="0"/>
      <w:divBdr>
        <w:top w:val="none" w:sz="0" w:space="0" w:color="auto"/>
        <w:left w:val="none" w:sz="0" w:space="0" w:color="auto"/>
        <w:bottom w:val="none" w:sz="0" w:space="0" w:color="auto"/>
        <w:right w:val="none" w:sz="0" w:space="0" w:color="auto"/>
      </w:divBdr>
    </w:div>
    <w:div w:id="700131777">
      <w:bodyDiv w:val="1"/>
      <w:marLeft w:val="0"/>
      <w:marRight w:val="0"/>
      <w:marTop w:val="0"/>
      <w:marBottom w:val="0"/>
      <w:divBdr>
        <w:top w:val="none" w:sz="0" w:space="0" w:color="auto"/>
        <w:left w:val="none" w:sz="0" w:space="0" w:color="auto"/>
        <w:bottom w:val="none" w:sz="0" w:space="0" w:color="auto"/>
        <w:right w:val="none" w:sz="0" w:space="0" w:color="auto"/>
      </w:divBdr>
    </w:div>
    <w:div w:id="700252553">
      <w:bodyDiv w:val="1"/>
      <w:marLeft w:val="0"/>
      <w:marRight w:val="0"/>
      <w:marTop w:val="0"/>
      <w:marBottom w:val="0"/>
      <w:divBdr>
        <w:top w:val="none" w:sz="0" w:space="0" w:color="auto"/>
        <w:left w:val="none" w:sz="0" w:space="0" w:color="auto"/>
        <w:bottom w:val="none" w:sz="0" w:space="0" w:color="auto"/>
        <w:right w:val="none" w:sz="0" w:space="0" w:color="auto"/>
      </w:divBdr>
    </w:div>
    <w:div w:id="735473961">
      <w:bodyDiv w:val="1"/>
      <w:marLeft w:val="0"/>
      <w:marRight w:val="0"/>
      <w:marTop w:val="0"/>
      <w:marBottom w:val="0"/>
      <w:divBdr>
        <w:top w:val="none" w:sz="0" w:space="0" w:color="auto"/>
        <w:left w:val="none" w:sz="0" w:space="0" w:color="auto"/>
        <w:bottom w:val="none" w:sz="0" w:space="0" w:color="auto"/>
        <w:right w:val="none" w:sz="0" w:space="0" w:color="auto"/>
      </w:divBdr>
    </w:div>
    <w:div w:id="898327035">
      <w:bodyDiv w:val="1"/>
      <w:marLeft w:val="0"/>
      <w:marRight w:val="0"/>
      <w:marTop w:val="0"/>
      <w:marBottom w:val="0"/>
      <w:divBdr>
        <w:top w:val="none" w:sz="0" w:space="0" w:color="auto"/>
        <w:left w:val="none" w:sz="0" w:space="0" w:color="auto"/>
        <w:bottom w:val="none" w:sz="0" w:space="0" w:color="auto"/>
        <w:right w:val="none" w:sz="0" w:space="0" w:color="auto"/>
      </w:divBdr>
      <w:divsChild>
        <w:div w:id="961574716">
          <w:marLeft w:val="547"/>
          <w:marRight w:val="0"/>
          <w:marTop w:val="106"/>
          <w:marBottom w:val="0"/>
          <w:divBdr>
            <w:top w:val="none" w:sz="0" w:space="0" w:color="auto"/>
            <w:left w:val="none" w:sz="0" w:space="0" w:color="auto"/>
            <w:bottom w:val="none" w:sz="0" w:space="0" w:color="auto"/>
            <w:right w:val="none" w:sz="0" w:space="0" w:color="auto"/>
          </w:divBdr>
        </w:div>
        <w:div w:id="2082755175">
          <w:marLeft w:val="547"/>
          <w:marRight w:val="0"/>
          <w:marTop w:val="106"/>
          <w:marBottom w:val="0"/>
          <w:divBdr>
            <w:top w:val="none" w:sz="0" w:space="0" w:color="auto"/>
            <w:left w:val="none" w:sz="0" w:space="0" w:color="auto"/>
            <w:bottom w:val="none" w:sz="0" w:space="0" w:color="auto"/>
            <w:right w:val="none" w:sz="0" w:space="0" w:color="auto"/>
          </w:divBdr>
        </w:div>
        <w:div w:id="1741055652">
          <w:marLeft w:val="547"/>
          <w:marRight w:val="0"/>
          <w:marTop w:val="106"/>
          <w:marBottom w:val="0"/>
          <w:divBdr>
            <w:top w:val="none" w:sz="0" w:space="0" w:color="auto"/>
            <w:left w:val="none" w:sz="0" w:space="0" w:color="auto"/>
            <w:bottom w:val="none" w:sz="0" w:space="0" w:color="auto"/>
            <w:right w:val="none" w:sz="0" w:space="0" w:color="auto"/>
          </w:divBdr>
        </w:div>
      </w:divsChild>
    </w:div>
    <w:div w:id="1029142059">
      <w:bodyDiv w:val="1"/>
      <w:marLeft w:val="0"/>
      <w:marRight w:val="0"/>
      <w:marTop w:val="0"/>
      <w:marBottom w:val="0"/>
      <w:divBdr>
        <w:top w:val="none" w:sz="0" w:space="0" w:color="auto"/>
        <w:left w:val="none" w:sz="0" w:space="0" w:color="auto"/>
        <w:bottom w:val="none" w:sz="0" w:space="0" w:color="auto"/>
        <w:right w:val="none" w:sz="0" w:space="0" w:color="auto"/>
      </w:divBdr>
    </w:div>
    <w:div w:id="1092121426">
      <w:bodyDiv w:val="1"/>
      <w:marLeft w:val="0"/>
      <w:marRight w:val="0"/>
      <w:marTop w:val="0"/>
      <w:marBottom w:val="0"/>
      <w:divBdr>
        <w:top w:val="none" w:sz="0" w:space="0" w:color="auto"/>
        <w:left w:val="none" w:sz="0" w:space="0" w:color="auto"/>
        <w:bottom w:val="none" w:sz="0" w:space="0" w:color="auto"/>
        <w:right w:val="none" w:sz="0" w:space="0" w:color="auto"/>
      </w:divBdr>
    </w:div>
    <w:div w:id="1234046048">
      <w:bodyDiv w:val="1"/>
      <w:marLeft w:val="0"/>
      <w:marRight w:val="0"/>
      <w:marTop w:val="0"/>
      <w:marBottom w:val="0"/>
      <w:divBdr>
        <w:top w:val="none" w:sz="0" w:space="0" w:color="auto"/>
        <w:left w:val="none" w:sz="0" w:space="0" w:color="auto"/>
        <w:bottom w:val="none" w:sz="0" w:space="0" w:color="auto"/>
        <w:right w:val="none" w:sz="0" w:space="0" w:color="auto"/>
      </w:divBdr>
    </w:div>
    <w:div w:id="1531528333">
      <w:bodyDiv w:val="1"/>
      <w:marLeft w:val="0"/>
      <w:marRight w:val="0"/>
      <w:marTop w:val="0"/>
      <w:marBottom w:val="0"/>
      <w:divBdr>
        <w:top w:val="none" w:sz="0" w:space="0" w:color="auto"/>
        <w:left w:val="none" w:sz="0" w:space="0" w:color="auto"/>
        <w:bottom w:val="none" w:sz="0" w:space="0" w:color="auto"/>
        <w:right w:val="none" w:sz="0" w:space="0" w:color="auto"/>
      </w:divBdr>
      <w:divsChild>
        <w:div w:id="1777823346">
          <w:marLeft w:val="547"/>
          <w:marRight w:val="0"/>
          <w:marTop w:val="91"/>
          <w:marBottom w:val="0"/>
          <w:divBdr>
            <w:top w:val="none" w:sz="0" w:space="0" w:color="auto"/>
            <w:left w:val="none" w:sz="0" w:space="0" w:color="auto"/>
            <w:bottom w:val="none" w:sz="0" w:space="0" w:color="auto"/>
            <w:right w:val="none" w:sz="0" w:space="0" w:color="auto"/>
          </w:divBdr>
        </w:div>
        <w:div w:id="1054278185">
          <w:marLeft w:val="547"/>
          <w:marRight w:val="0"/>
          <w:marTop w:val="91"/>
          <w:marBottom w:val="0"/>
          <w:divBdr>
            <w:top w:val="none" w:sz="0" w:space="0" w:color="auto"/>
            <w:left w:val="none" w:sz="0" w:space="0" w:color="auto"/>
            <w:bottom w:val="none" w:sz="0" w:space="0" w:color="auto"/>
            <w:right w:val="none" w:sz="0" w:space="0" w:color="auto"/>
          </w:divBdr>
        </w:div>
      </w:divsChild>
    </w:div>
    <w:div w:id="1581674334">
      <w:bodyDiv w:val="1"/>
      <w:marLeft w:val="0"/>
      <w:marRight w:val="0"/>
      <w:marTop w:val="0"/>
      <w:marBottom w:val="0"/>
      <w:divBdr>
        <w:top w:val="none" w:sz="0" w:space="0" w:color="auto"/>
        <w:left w:val="none" w:sz="0" w:space="0" w:color="auto"/>
        <w:bottom w:val="none" w:sz="0" w:space="0" w:color="auto"/>
        <w:right w:val="none" w:sz="0" w:space="0" w:color="auto"/>
      </w:divBdr>
      <w:divsChild>
        <w:div w:id="1210993814">
          <w:marLeft w:val="547"/>
          <w:marRight w:val="0"/>
          <w:marTop w:val="91"/>
          <w:marBottom w:val="0"/>
          <w:divBdr>
            <w:top w:val="none" w:sz="0" w:space="0" w:color="auto"/>
            <w:left w:val="none" w:sz="0" w:space="0" w:color="auto"/>
            <w:bottom w:val="none" w:sz="0" w:space="0" w:color="auto"/>
            <w:right w:val="none" w:sz="0" w:space="0" w:color="auto"/>
          </w:divBdr>
        </w:div>
        <w:div w:id="1259826096">
          <w:marLeft w:val="547"/>
          <w:marRight w:val="0"/>
          <w:marTop w:val="91"/>
          <w:marBottom w:val="0"/>
          <w:divBdr>
            <w:top w:val="none" w:sz="0" w:space="0" w:color="auto"/>
            <w:left w:val="none" w:sz="0" w:space="0" w:color="auto"/>
            <w:bottom w:val="none" w:sz="0" w:space="0" w:color="auto"/>
            <w:right w:val="none" w:sz="0" w:space="0" w:color="auto"/>
          </w:divBdr>
        </w:div>
      </w:divsChild>
    </w:div>
    <w:div w:id="1734739905">
      <w:bodyDiv w:val="1"/>
      <w:marLeft w:val="0"/>
      <w:marRight w:val="0"/>
      <w:marTop w:val="0"/>
      <w:marBottom w:val="0"/>
      <w:divBdr>
        <w:top w:val="none" w:sz="0" w:space="0" w:color="auto"/>
        <w:left w:val="none" w:sz="0" w:space="0" w:color="auto"/>
        <w:bottom w:val="none" w:sz="0" w:space="0" w:color="auto"/>
        <w:right w:val="none" w:sz="0" w:space="0" w:color="auto"/>
      </w:divBdr>
      <w:divsChild>
        <w:div w:id="2059819807">
          <w:marLeft w:val="0"/>
          <w:marRight w:val="0"/>
          <w:marTop w:val="0"/>
          <w:marBottom w:val="0"/>
          <w:divBdr>
            <w:top w:val="none" w:sz="0" w:space="0" w:color="auto"/>
            <w:left w:val="none" w:sz="0" w:space="0" w:color="auto"/>
            <w:bottom w:val="none" w:sz="0" w:space="0" w:color="auto"/>
            <w:right w:val="none" w:sz="0" w:space="0" w:color="auto"/>
          </w:divBdr>
        </w:div>
      </w:divsChild>
    </w:div>
    <w:div w:id="1807043686">
      <w:bodyDiv w:val="1"/>
      <w:marLeft w:val="0"/>
      <w:marRight w:val="0"/>
      <w:marTop w:val="0"/>
      <w:marBottom w:val="0"/>
      <w:divBdr>
        <w:top w:val="none" w:sz="0" w:space="0" w:color="auto"/>
        <w:left w:val="none" w:sz="0" w:space="0" w:color="auto"/>
        <w:bottom w:val="none" w:sz="0" w:space="0" w:color="auto"/>
        <w:right w:val="none" w:sz="0" w:space="0" w:color="auto"/>
      </w:divBdr>
    </w:div>
    <w:div w:id="1809585198">
      <w:bodyDiv w:val="1"/>
      <w:marLeft w:val="0"/>
      <w:marRight w:val="0"/>
      <w:marTop w:val="0"/>
      <w:marBottom w:val="0"/>
      <w:divBdr>
        <w:top w:val="none" w:sz="0" w:space="0" w:color="auto"/>
        <w:left w:val="none" w:sz="0" w:space="0" w:color="auto"/>
        <w:bottom w:val="none" w:sz="0" w:space="0" w:color="auto"/>
        <w:right w:val="none" w:sz="0" w:space="0" w:color="auto"/>
      </w:divBdr>
    </w:div>
    <w:div w:id="1930233637">
      <w:bodyDiv w:val="1"/>
      <w:marLeft w:val="0"/>
      <w:marRight w:val="0"/>
      <w:marTop w:val="0"/>
      <w:marBottom w:val="0"/>
      <w:divBdr>
        <w:top w:val="none" w:sz="0" w:space="0" w:color="auto"/>
        <w:left w:val="none" w:sz="0" w:space="0" w:color="auto"/>
        <w:bottom w:val="none" w:sz="0" w:space="0" w:color="auto"/>
        <w:right w:val="none" w:sz="0" w:space="0" w:color="auto"/>
      </w:divBdr>
    </w:div>
    <w:div w:id="2030327479">
      <w:bodyDiv w:val="1"/>
      <w:marLeft w:val="0"/>
      <w:marRight w:val="0"/>
      <w:marTop w:val="0"/>
      <w:marBottom w:val="0"/>
      <w:divBdr>
        <w:top w:val="none" w:sz="0" w:space="0" w:color="auto"/>
        <w:left w:val="none" w:sz="0" w:space="0" w:color="auto"/>
        <w:bottom w:val="none" w:sz="0" w:space="0" w:color="auto"/>
        <w:right w:val="none" w:sz="0" w:space="0" w:color="auto"/>
      </w:divBdr>
    </w:div>
    <w:div w:id="2049335576">
      <w:bodyDiv w:val="1"/>
      <w:marLeft w:val="0"/>
      <w:marRight w:val="0"/>
      <w:marTop w:val="0"/>
      <w:marBottom w:val="0"/>
      <w:divBdr>
        <w:top w:val="none" w:sz="0" w:space="0" w:color="auto"/>
        <w:left w:val="none" w:sz="0" w:space="0" w:color="auto"/>
        <w:bottom w:val="none" w:sz="0" w:space="0" w:color="auto"/>
        <w:right w:val="none" w:sz="0" w:space="0" w:color="auto"/>
      </w:divBdr>
    </w:div>
    <w:div w:id="2124760568">
      <w:bodyDiv w:val="1"/>
      <w:marLeft w:val="0"/>
      <w:marRight w:val="0"/>
      <w:marTop w:val="0"/>
      <w:marBottom w:val="0"/>
      <w:divBdr>
        <w:top w:val="none" w:sz="0" w:space="0" w:color="auto"/>
        <w:left w:val="none" w:sz="0" w:space="0" w:color="auto"/>
        <w:bottom w:val="none" w:sz="0" w:space="0" w:color="auto"/>
        <w:right w:val="none" w:sz="0" w:space="0" w:color="auto"/>
      </w:divBdr>
      <w:divsChild>
        <w:div w:id="1033730937">
          <w:marLeft w:val="0"/>
          <w:marRight w:val="0"/>
          <w:marTop w:val="0"/>
          <w:marBottom w:val="0"/>
          <w:divBdr>
            <w:top w:val="none" w:sz="0" w:space="0" w:color="auto"/>
            <w:left w:val="none" w:sz="0" w:space="0" w:color="auto"/>
            <w:bottom w:val="none" w:sz="0" w:space="0" w:color="auto"/>
            <w:right w:val="none" w:sz="0" w:space="0" w:color="auto"/>
          </w:divBdr>
        </w:div>
      </w:divsChild>
    </w:div>
    <w:div w:id="214211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home.co.uk" TargetMode="External"/><Relationship Id="rId18" Type="http://schemas.openxmlformats.org/officeDocument/2006/relationships/image" Target="media/image5.png"/><Relationship Id="rId26" Type="http://schemas.openxmlformats.org/officeDocument/2006/relationships/hyperlink" Target="http://www.housingcare.org" TargetMode="External"/><Relationship Id="rId3" Type="http://schemas.openxmlformats.org/officeDocument/2006/relationships/styles" Target="styles.xml"/><Relationship Id="rId21" Type="http://schemas.openxmlformats.org/officeDocument/2006/relationships/hyperlink" Target="https://www.gov.uk/guidance/housing-optional-technical-standard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png"/><Relationship Id="rId25" Type="http://schemas.openxmlformats.org/officeDocument/2006/relationships/hyperlink" Target="http://home.co.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hyperlink" Target="http://Hom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housingcare.org" TargetMode="External"/><Relationship Id="rId28"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yperlink" Target="http://www.lifetimehome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www.housingcare.org" TargetMode="External"/><Relationship Id="rId27" Type="http://schemas.openxmlformats.org/officeDocument/2006/relationships/hyperlink" Target="http://www.housingcare.org" TargetMode="External"/><Relationship Id="rId30" Type="http://schemas.openxmlformats.org/officeDocument/2006/relationships/hyperlink" Target="http://home.co.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consultations/changes-to-the-current-planning-system" TargetMode="External"/><Relationship Id="rId13" Type="http://schemas.openxmlformats.org/officeDocument/2006/relationships/hyperlink" Target="https://www.dorsetcouncil.gov.uk/planning-buildings-land/planning-policy/west-dorset-and-weymouth-portland/evidence-base/pdfs/monitoring/20200313-five-year-supply-wddc-and-wpbc-final.pdf" TargetMode="External"/><Relationship Id="rId18" Type="http://schemas.openxmlformats.org/officeDocument/2006/relationships/hyperlink" Target="https://assets.publishing.service.gov.uk/government/uploads/system/uploads/attachment_data/file/590464/Fixing_our_broken_housing_market_-_print_ready_version.pdf" TargetMode="External"/><Relationship Id="rId26" Type="http://schemas.openxmlformats.org/officeDocument/2006/relationships/hyperlink" Target="https://www.housinglin.org.uk/Topics/browse/HousingExtraCare/ExtraCareStrategy/SHOP/SHOPv2/" TargetMode="External"/><Relationship Id="rId39" Type="http://schemas.openxmlformats.org/officeDocument/2006/relationships/hyperlink" Target="http://england.shelter.org.uk/housing_advice/repairs/overcrowding" TargetMode="External"/><Relationship Id="rId3" Type="http://schemas.openxmlformats.org/officeDocument/2006/relationships/hyperlink" Target="https://www.dorsetcouncil.gov.uk/planning-buildings-land/planning-policy/west-dorset-and-weymouth-portland/neighbourhood-planning/pdfs/neighbourhood-plan/weymouth/weymouth-neighbourhood-area.pdf" TargetMode="External"/><Relationship Id="rId21" Type="http://schemas.openxmlformats.org/officeDocument/2006/relationships/hyperlink" Target="https://www.dorsetcouncil.gov.uk/planning-buildings-land/planning-policy/west-dorset-and-weymouth-portland/evidence-base/monitoring-west-dorset-weymouth-portland.aspx" TargetMode="External"/><Relationship Id="rId34" Type="http://schemas.openxmlformats.org/officeDocument/2006/relationships/hyperlink" Target="https://www.gov.uk/guidance/self-build-and-custom-housebuilding" TargetMode="External"/><Relationship Id="rId42" Type="http://schemas.openxmlformats.org/officeDocument/2006/relationships/hyperlink" Target="https://www.gov.uk/guidance/national-planning-policy-framework/annex-2-glossary" TargetMode="External"/><Relationship Id="rId7" Type="http://schemas.openxmlformats.org/officeDocument/2006/relationships/hyperlink" Target="https://www.dorsetcouncil.gov.uk/planning-buildings-land/planning-policy/dorset-council-planning-policy/neighbourhood-plans-in-dorset/chickerell-neighbourhood-plan.aspx" TargetMode="External"/><Relationship Id="rId12" Type="http://schemas.openxmlformats.org/officeDocument/2006/relationships/hyperlink" Target="https://www.dorsetcouncil.gov.uk/planning-buildings-land/planning-policy/west-dorset-and-weymouth-portland/evidence-base/pdfs/housing/dorchester-weymouth-strategic-housing-market-assessment-shma-final-summary-report.pdf" TargetMode="External"/><Relationship Id="rId17" Type="http://schemas.openxmlformats.org/officeDocument/2006/relationships/hyperlink" Target="https://www.ons.gov.uk/methodology/geography/ukgeographies/censusgeography" TargetMode="External"/><Relationship Id="rId25" Type="http://schemas.openxmlformats.org/officeDocument/2006/relationships/hyperlink" Target="https://www.gov.uk/guidance/housing-for-older-and-disabled-people" TargetMode="External"/><Relationship Id="rId33" Type="http://schemas.openxmlformats.org/officeDocument/2006/relationships/hyperlink" Target="https://www.ageuk.org.uk/globalassets/age-uk/documents/reports-and-publications/reports-and-briefings/safe-at-home/rb_july14_housing_later_life_report.pdf" TargetMode="External"/><Relationship Id="rId38" Type="http://schemas.openxmlformats.org/officeDocument/2006/relationships/hyperlink" Target="https://www.gov.uk/guidance/when-is-permission-required" TargetMode="External"/><Relationship Id="rId46" Type="http://schemas.openxmlformats.org/officeDocument/2006/relationships/hyperlink" Target="http://www.communities.gov.uk/documents/planningandbuilding/doc/1980960.doc" TargetMode="External"/><Relationship Id="rId2" Type="http://schemas.openxmlformats.org/officeDocument/2006/relationships/hyperlink" Target="https://apps.geowessex.com/insights/Reports/Topic/Deprivation" TargetMode="External"/><Relationship Id="rId16" Type="http://schemas.openxmlformats.org/officeDocument/2006/relationships/hyperlink" Target="https://www.ons.gov.uk/peoplepopulationandcommunity/personalandhouseholdfinances/incomeandwealth/bulletins/smallareamodelbasedincomeestimates/financialyearending2016" TargetMode="External"/><Relationship Id="rId20" Type="http://schemas.openxmlformats.org/officeDocument/2006/relationships/hyperlink" Target="https://www.gov.uk/government/consultations/changes-to-the-current-planning-system" TargetMode="External"/><Relationship Id="rId29" Type="http://schemas.openxmlformats.org/officeDocument/2006/relationships/hyperlink" Target="https://www.housinglin.org.uk/_assets/Resources/Housing/OtherOrganisation/for-future-living_Oct2014.pdf" TargetMode="External"/><Relationship Id="rId41" Type="http://schemas.openxmlformats.org/officeDocument/2006/relationships/hyperlink" Target="https://www.gov.uk/government/statistics/english-housing-survey-2011-to-2012-household-report" TargetMode="External"/><Relationship Id="rId1" Type="http://schemas.openxmlformats.org/officeDocument/2006/relationships/hyperlink" Target="https://www.gov.uk/government/statistics/english-indices-of-deprivation-2019" TargetMode="External"/><Relationship Id="rId6" Type="http://schemas.openxmlformats.org/officeDocument/2006/relationships/hyperlink" Target="https://www.dorsetcouncil.gov.uk/planning-buildings-land/planning-policy/dorset-council-local-plan.aspx" TargetMode="External"/><Relationship Id="rId11" Type="http://schemas.openxmlformats.org/officeDocument/2006/relationships/hyperlink" Target="https://www.dorsetcouncil.gov.uk/planning-buildings-land/planning-policy/west-dorset-and-weymouth-portland/evidence-base/pdfs/housing/dorchester-weymouth-strategic-housing-market-assessment-shma-final-summary-report.pdf" TargetMode="External"/><Relationship Id="rId24" Type="http://schemas.openxmlformats.org/officeDocument/2006/relationships/hyperlink" Target="https://www.dorsetcouncil.gov.uk/planning-buildings-land/planning-policy/west-dorset-and-weymouth-portland/evidence-base/monitoring-west-dorset-weymouth-portland.aspx" TargetMode="External"/><Relationship Id="rId32" Type="http://schemas.openxmlformats.org/officeDocument/2006/relationships/hyperlink" Target="https://www.gov.uk/guidance/housing-for-older-and-disabled-people" TargetMode="External"/><Relationship Id="rId37" Type="http://schemas.openxmlformats.org/officeDocument/2006/relationships/hyperlink" Target="https://www.gov.uk/guidance/definitions-of-general-housing-terms" TargetMode="External"/><Relationship Id="rId40" Type="http://schemas.openxmlformats.org/officeDocument/2006/relationships/hyperlink" Target="http://www.communities.gov.uk/documents/planningandbuilding/pdf/1918430.pdf" TargetMode="External"/><Relationship Id="rId45" Type="http://schemas.openxmlformats.org/officeDocument/2006/relationships/hyperlink" Target="http://www.housingcare.org/jargon-sheltered-housing.aspx" TargetMode="External"/><Relationship Id="rId5" Type="http://schemas.openxmlformats.org/officeDocument/2006/relationships/hyperlink" Target="https://www.dorsetcouncil.gov.uk/planning-buildings-land/planning-policy/dorset-council-local-plan.aspx" TargetMode="External"/><Relationship Id="rId15" Type="http://schemas.openxmlformats.org/officeDocument/2006/relationships/hyperlink" Target="https://www.gov.uk/guidance/housing-and-economic-development-needs-assessments" TargetMode="External"/><Relationship Id="rId23" Type="http://schemas.openxmlformats.org/officeDocument/2006/relationships/hyperlink" Target="https://www.gov.uk/guidance/dwelling-stock-data-notes-and-definitions-includes-hfr-full-guidance-notes-and-returns-form" TargetMode="External"/><Relationship Id="rId28" Type="http://schemas.openxmlformats.org/officeDocument/2006/relationships/hyperlink" Target="https://www.demos.co.uk/files/TopoftheLadder-web.pdf?1378922386" TargetMode="External"/><Relationship Id="rId36" Type="http://schemas.openxmlformats.org/officeDocument/2006/relationships/hyperlink" Target="https://www.ageuk.org.uk/documents/EN-GB/Political/Age%20UK%20ID201813%20Housing%20Later%20Life%20Report%20-%20final.pdf?dtrk=true" TargetMode="External"/><Relationship Id="rId10" Type="http://schemas.openxmlformats.org/officeDocument/2006/relationships/hyperlink" Target="https://www.bridport-tc.gov.uk/wp-content/uploads/2019/04/SHMA-part-1-July-2014.pdf" TargetMode="External"/><Relationship Id="rId19" Type="http://schemas.openxmlformats.org/officeDocument/2006/relationships/hyperlink" Target="https://assets.publishing.service.gov.uk/government/uploads/system/uploads/attachment_data/file/864265/First_Homes_consultation_document.pdf" TargetMode="External"/><Relationship Id="rId31" Type="http://schemas.openxmlformats.org/officeDocument/2006/relationships/hyperlink" Target="http://researchbriefings.files.parliament.uk/documents/CBP-7423/CBP-7423.pdf" TargetMode="External"/><Relationship Id="rId44" Type="http://schemas.openxmlformats.org/officeDocument/2006/relationships/hyperlink" Target="https://www.which.co.uk/news/2017/08/how-your-income-affects-your-mortgage-chances/" TargetMode="External"/><Relationship Id="rId4" Type="http://schemas.openxmlformats.org/officeDocument/2006/relationships/hyperlink" Target="https://www.gov.uk/guidance/neighbourhood-planning--2" TargetMode="External"/><Relationship Id="rId9" Type="http://schemas.openxmlformats.org/officeDocument/2006/relationships/hyperlink" Target="https://www.bridport-tc.gov.uk/wp-content/uploads/2019/04/SHMA-part-2-July-2014.pdf" TargetMode="External"/><Relationship Id="rId14" Type="http://schemas.openxmlformats.org/officeDocument/2006/relationships/hyperlink" Target="https://www.gov.uk/guidance/housing-and-economic-development-needs-assessments" TargetMode="External"/><Relationship Id="rId22" Type="http://schemas.openxmlformats.org/officeDocument/2006/relationships/hyperlink" Target="https://www.nomisweb.co.uk/census/2011/qs407ew" TargetMode="External"/><Relationship Id="rId27" Type="http://schemas.openxmlformats.org/officeDocument/2006/relationships/hyperlink" Target="https://www.planningportal.co.uk/info/200130/common_projects/9/change_of_use" TargetMode="External"/><Relationship Id="rId30" Type="http://schemas.openxmlformats.org/officeDocument/2006/relationships/hyperlink" Target="https://www.demos.co.uk/files/TopoftheLadder-web.pdf?1378922386" TargetMode="External"/><Relationship Id="rId35" Type="http://schemas.openxmlformats.org/officeDocument/2006/relationships/hyperlink" Target="https://www.gov.uk/guidance/housing-for-older-and-disabled-people" TargetMode="External"/><Relationship Id="rId43" Type="http://schemas.openxmlformats.org/officeDocument/2006/relationships/hyperlink" Target="http://webarchive.nationalarchives.gov.uk/20160107160832/http://www.ons.gov.uk/ons/dcp171776_35028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Brewer\AppData\Roaming\Microsoft\Templates\AECOM_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phanie.Brewer\AppData\Local\Microsoft\Windows\INetCache\Content.Outlook\BTFPOOWP\Weymouth%20HNA%20Tool%20v06.02%2025.01.21%20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ephanie.Brewer\AppData\Local\Microsoft\Windows\INetCache\Content.Outlook\BTFPOOWP\Weymouth%20HNA%20Tool%20v06.02%2025.01.21%20v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ephanie.Brewer\AppData\Local\Microsoft\Windows\INetCache\Content.Outlook\BTFPOOWP\Weymouth%20HNA%20Tool%20v06.02%2027.01.21%20v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ephanie.Brewer\AppData\Local\Microsoft\Windows\INetCache\Content.Outlook\BTFPOOWP\Weymouth%20HNA%20Tool%20v06.02%2027.01.21%20v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'OUTPUT 1 - TENURE'!$B$30</c:f>
              <c:strCache>
                <c:ptCount val="1"/>
                <c:pt idx="0">
                  <c:v>Mean</c:v>
                </c:pt>
              </c:strCache>
            </c:strRef>
          </c:tx>
          <c:spPr>
            <a:ln w="28575" cap="rnd">
              <a:solidFill>
                <a:srgbClr val="00B5E5"/>
              </a:solidFill>
              <a:round/>
            </a:ln>
            <a:effectLst/>
          </c:spPr>
          <c:marker>
            <c:symbol val="none"/>
          </c:marker>
          <c:cat>
            <c:numRef>
              <c:f>'OUTPUT 1 - TENURE'!$C$29:$L$29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'OUTPUT 1 - TENURE'!$C$30:$L$30</c:f>
              <c:numCache>
                <c:formatCode>"£"#,##0</c:formatCode>
                <c:ptCount val="10"/>
                <c:pt idx="0">
                  <c:v>212542.96633941095</c:v>
                </c:pt>
                <c:pt idx="1">
                  <c:v>211117.64993564994</c:v>
                </c:pt>
                <c:pt idx="2">
                  <c:v>277261.48543689318</c:v>
                </c:pt>
                <c:pt idx="3">
                  <c:v>216954.19929453262</c:v>
                </c:pt>
                <c:pt idx="4">
                  <c:v>234801.48787313432</c:v>
                </c:pt>
                <c:pt idx="5">
                  <c:v>239608.07654320987</c:v>
                </c:pt>
                <c:pt idx="6">
                  <c:v>272030.71617161715</c:v>
                </c:pt>
                <c:pt idx="7">
                  <c:v>266492.40016778524</c:v>
                </c:pt>
                <c:pt idx="8">
                  <c:v>280444.01308900525</c:v>
                </c:pt>
                <c:pt idx="9">
                  <c:v>282164.87017543858</c:v>
                </c:pt>
              </c:numCache>
            </c:numRef>
          </c:val>
          <c:smooth val="0"/>
          <c:extLst>
            <c:ext xmlns:c16="http://schemas.microsoft.com/office/drawing/2014/chart" uri="{C3380CC4-5D6E-409C-BE32-E72D297353CC}">
              <c16:uniqueId val="{00000000-3DBC-4390-A100-224391D4A9E3}"/>
            </c:ext>
          </c:extLst>
        </c:ser>
        <c:ser>
          <c:idx val="1"/>
          <c:order val="1"/>
          <c:tx>
            <c:strRef>
              <c:f>'OUTPUT 1 - TENURE'!$B$31</c:f>
              <c:strCache>
                <c:ptCount val="1"/>
                <c:pt idx="0">
                  <c:v>Median</c:v>
                </c:pt>
              </c:strCache>
            </c:strRef>
          </c:tx>
          <c:spPr>
            <a:ln w="28575" cap="rnd">
              <a:solidFill>
                <a:srgbClr val="7FBB42"/>
              </a:solidFill>
              <a:round/>
            </a:ln>
            <a:effectLst/>
          </c:spPr>
          <c:marker>
            <c:symbol val="none"/>
          </c:marker>
          <c:cat>
            <c:numRef>
              <c:f>'OUTPUT 1 - TENURE'!$C$29:$L$29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'OUTPUT 1 - TENURE'!$C$31:$L$31</c:f>
              <c:numCache>
                <c:formatCode>"£"#,##0</c:formatCode>
                <c:ptCount val="10"/>
                <c:pt idx="0">
                  <c:v>190000</c:v>
                </c:pt>
                <c:pt idx="1">
                  <c:v>187500</c:v>
                </c:pt>
                <c:pt idx="2">
                  <c:v>194500</c:v>
                </c:pt>
                <c:pt idx="3">
                  <c:v>195000</c:v>
                </c:pt>
                <c:pt idx="4">
                  <c:v>208000</c:v>
                </c:pt>
                <c:pt idx="5">
                  <c:v>210000</c:v>
                </c:pt>
                <c:pt idx="6">
                  <c:v>220000</c:v>
                </c:pt>
                <c:pt idx="7">
                  <c:v>226250</c:v>
                </c:pt>
                <c:pt idx="8">
                  <c:v>228250</c:v>
                </c:pt>
                <c:pt idx="9">
                  <c:v>235000</c:v>
                </c:pt>
              </c:numCache>
            </c:numRef>
          </c:val>
          <c:smooth val="0"/>
          <c:extLst>
            <c:ext xmlns:c16="http://schemas.microsoft.com/office/drawing/2014/chart" uri="{C3380CC4-5D6E-409C-BE32-E72D297353CC}">
              <c16:uniqueId val="{00000001-3DBC-4390-A100-224391D4A9E3}"/>
            </c:ext>
          </c:extLst>
        </c:ser>
        <c:ser>
          <c:idx val="2"/>
          <c:order val="2"/>
          <c:tx>
            <c:strRef>
              <c:f>'OUTPUT 1 - TENURE'!$B$32</c:f>
              <c:strCache>
                <c:ptCount val="1"/>
                <c:pt idx="0">
                  <c:v>Lower quartile</c:v>
                </c:pt>
              </c:strCache>
            </c:strRef>
          </c:tx>
          <c:spPr>
            <a:ln w="28575" cap="rnd">
              <a:solidFill>
                <a:srgbClr val="F68B1F"/>
              </a:solidFill>
              <a:round/>
            </a:ln>
            <a:effectLst/>
          </c:spPr>
          <c:marker>
            <c:symbol val="none"/>
          </c:marker>
          <c:cat>
            <c:numRef>
              <c:f>'OUTPUT 1 - TENURE'!$C$29:$L$29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'OUTPUT 1 - TENURE'!$C$32:$L$32</c:f>
              <c:numCache>
                <c:formatCode>"£"#,##0</c:formatCode>
                <c:ptCount val="10"/>
                <c:pt idx="0">
                  <c:v>142500</c:v>
                </c:pt>
                <c:pt idx="1">
                  <c:v>149000</c:v>
                </c:pt>
                <c:pt idx="2">
                  <c:v>153750</c:v>
                </c:pt>
                <c:pt idx="3">
                  <c:v>153125</c:v>
                </c:pt>
                <c:pt idx="4">
                  <c:v>160000</c:v>
                </c:pt>
                <c:pt idx="5">
                  <c:v>165000</c:v>
                </c:pt>
                <c:pt idx="6">
                  <c:v>167000</c:v>
                </c:pt>
                <c:pt idx="7">
                  <c:v>172000</c:v>
                </c:pt>
                <c:pt idx="8">
                  <c:v>170375</c:v>
                </c:pt>
                <c:pt idx="9">
                  <c:v>176625</c:v>
                </c:pt>
              </c:numCache>
            </c:numRef>
          </c:val>
          <c:smooth val="0"/>
          <c:extLst>
            <c:ext xmlns:c16="http://schemas.microsoft.com/office/drawing/2014/chart" uri="{C3380CC4-5D6E-409C-BE32-E72D297353CC}">
              <c16:uniqueId val="{00000002-3DBC-4390-A100-224391D4A9E3}"/>
            </c:ext>
          </c:extLst>
        </c:ser>
        <c:dLbls>
          <c:showLegendKey val="0"/>
          <c:showVal val="0"/>
          <c:showCatName val="0"/>
          <c:showSerName val="0"/>
          <c:showPercent val="0"/>
          <c:showBubbleSize val="0"/>
        </c:dLbls>
        <c:smooth val="0"/>
        <c:axId val="740855816"/>
        <c:axId val="740856800"/>
      </c:lineChart>
      <c:catAx>
        <c:axId val="74085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40856800"/>
        <c:crosses val="autoZero"/>
        <c:auto val="1"/>
        <c:lblAlgn val="ctr"/>
        <c:lblOffset val="100"/>
        <c:noMultiLvlLbl val="0"/>
      </c:catAx>
      <c:valAx>
        <c:axId val="74085680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40855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 1 - TENURE'!$L$89</c:f>
              <c:strCache>
                <c:ptCount val="1"/>
                <c:pt idx="0">
                  <c:v>Income required</c:v>
                </c:pt>
              </c:strCache>
            </c:strRef>
          </c:tx>
          <c:spPr>
            <a:solidFill>
              <a:schemeClr val="accent1"/>
            </a:solidFill>
            <a:ln>
              <a:noFill/>
            </a:ln>
            <a:effectLst/>
          </c:spPr>
          <c:invertIfNegative val="0"/>
          <c:cat>
            <c:strRef>
              <c:f>'OUTPUT 1 - TENURE'!$K$90:$K$102</c:f>
              <c:strCache>
                <c:ptCount val="13"/>
                <c:pt idx="0">
                  <c:v>LA New Build Mean House Price</c:v>
                </c:pt>
                <c:pt idx="1">
                  <c:v>Median House Price</c:v>
                </c:pt>
                <c:pt idx="2">
                  <c:v>Discounted Market Sale (-20%)</c:v>
                </c:pt>
                <c:pt idx="3">
                  <c:v>LQ/Entry-level House Price</c:v>
                </c:pt>
                <c:pt idx="4">
                  <c:v>Discounted Market Sale (-30%)</c:v>
                </c:pt>
                <c:pt idx="5">
                  <c:v>Shared ownership (50%)</c:v>
                </c:pt>
                <c:pt idx="6">
                  <c:v>Average Market Rent</c:v>
                </c:pt>
                <c:pt idx="7">
                  <c:v>Discounted Market Sale (-40%)</c:v>
                </c:pt>
                <c:pt idx="8">
                  <c:v>Entry-level Market Rent</c:v>
                </c:pt>
                <c:pt idx="9">
                  <c:v>Discounted Market Sale (-50%)</c:v>
                </c:pt>
                <c:pt idx="10">
                  <c:v>Shared ownership (25%)</c:v>
                </c:pt>
                <c:pt idx="11">
                  <c:v>Affordable Rent (80% Market Rent)</c:v>
                </c:pt>
                <c:pt idx="12">
                  <c:v>Social Rent - 2 Bed Dwelling</c:v>
                </c:pt>
              </c:strCache>
            </c:strRef>
          </c:cat>
          <c:val>
            <c:numRef>
              <c:f>'OUTPUT 1 - TENURE'!$L$90:$L$102</c:f>
              <c:numCache>
                <c:formatCode>"£"#,##0</c:formatCode>
                <c:ptCount val="13"/>
                <c:pt idx="0">
                  <c:v>101260.866359447</c:v>
                </c:pt>
                <c:pt idx="1">
                  <c:v>60428.571428571428</c:v>
                </c:pt>
                <c:pt idx="2">
                  <c:v>48342.857142857145</c:v>
                </c:pt>
                <c:pt idx="3">
                  <c:v>45417.857142857145</c:v>
                </c:pt>
                <c:pt idx="4">
                  <c:v>42300</c:v>
                </c:pt>
                <c:pt idx="5">
                  <c:v>40005.952380952382</c:v>
                </c:pt>
                <c:pt idx="6">
                  <c:v>37708.571440000007</c:v>
                </c:pt>
                <c:pt idx="7">
                  <c:v>36257.142857142855</c:v>
                </c:pt>
                <c:pt idx="8">
                  <c:v>33925</c:v>
                </c:pt>
                <c:pt idx="9">
                  <c:v>30214.285714285714</c:v>
                </c:pt>
                <c:pt idx="10">
                  <c:v>29794.642857142855</c:v>
                </c:pt>
                <c:pt idx="11">
                  <c:v>25677.600000000002</c:v>
                </c:pt>
                <c:pt idx="12">
                  <c:v>19943.04</c:v>
                </c:pt>
              </c:numCache>
            </c:numRef>
          </c:val>
          <c:extLst>
            <c:ext xmlns:c16="http://schemas.microsoft.com/office/drawing/2014/chart" uri="{C3380CC4-5D6E-409C-BE32-E72D297353CC}">
              <c16:uniqueId val="{00000000-B14C-40CE-B86C-23825B592F53}"/>
            </c:ext>
          </c:extLst>
        </c:ser>
        <c:ser>
          <c:idx val="1"/>
          <c:order val="1"/>
          <c:tx>
            <c:strRef>
              <c:f>'OUTPUT 1 - TENURE'!$M$89</c:f>
              <c:strCache>
                <c:ptCount val="1"/>
                <c:pt idx="0">
                  <c:v>Deposit</c:v>
                </c:pt>
              </c:strCache>
            </c:strRef>
          </c:tx>
          <c:spPr>
            <a:solidFill>
              <a:srgbClr val="323E48"/>
            </a:solidFill>
            <a:ln>
              <a:noFill/>
            </a:ln>
            <a:effectLst/>
          </c:spPr>
          <c:invertIfNegative val="0"/>
          <c:cat>
            <c:strRef>
              <c:f>'OUTPUT 1 - TENURE'!$K$90:$K$102</c:f>
              <c:strCache>
                <c:ptCount val="13"/>
                <c:pt idx="0">
                  <c:v>LA New Build Mean House Price</c:v>
                </c:pt>
                <c:pt idx="1">
                  <c:v>Median House Price</c:v>
                </c:pt>
                <c:pt idx="2">
                  <c:v>Discounted Market Sale (-20%)</c:v>
                </c:pt>
                <c:pt idx="3">
                  <c:v>LQ/Entry-level House Price</c:v>
                </c:pt>
                <c:pt idx="4">
                  <c:v>Discounted Market Sale (-30%)</c:v>
                </c:pt>
                <c:pt idx="5">
                  <c:v>Shared ownership (50%)</c:v>
                </c:pt>
                <c:pt idx="6">
                  <c:v>Average Market Rent</c:v>
                </c:pt>
                <c:pt idx="7">
                  <c:v>Discounted Market Sale (-40%)</c:v>
                </c:pt>
                <c:pt idx="8">
                  <c:v>Entry-level Market Rent</c:v>
                </c:pt>
                <c:pt idx="9">
                  <c:v>Discounted Market Sale (-50%)</c:v>
                </c:pt>
                <c:pt idx="10">
                  <c:v>Shared ownership (25%)</c:v>
                </c:pt>
                <c:pt idx="11">
                  <c:v>Affordable Rent (80% Market Rent)</c:v>
                </c:pt>
                <c:pt idx="12">
                  <c:v>Social Rent - 2 Bed Dwelling</c:v>
                </c:pt>
              </c:strCache>
            </c:strRef>
          </c:cat>
          <c:val>
            <c:numRef>
              <c:f>'OUTPUT 1 - TENURE'!$M$90:$M$103</c:f>
              <c:numCache>
                <c:formatCode>"£"#,##0</c:formatCode>
                <c:ptCount val="14"/>
                <c:pt idx="0" formatCode="&quot;£&quot;#,##0.00">
                  <c:v>-39379.225806451614</c:v>
                </c:pt>
                <c:pt idx="1">
                  <c:v>-23500</c:v>
                </c:pt>
                <c:pt idx="2">
                  <c:v>-18800</c:v>
                </c:pt>
                <c:pt idx="3" formatCode="&quot;£&quot;#,##0.00">
                  <c:v>-17662.5</c:v>
                </c:pt>
                <c:pt idx="4">
                  <c:v>-16450</c:v>
                </c:pt>
                <c:pt idx="5">
                  <c:v>-11750</c:v>
                </c:pt>
                <c:pt idx="6">
                  <c:v>0</c:v>
                </c:pt>
                <c:pt idx="7">
                  <c:v>-14100</c:v>
                </c:pt>
                <c:pt idx="8">
                  <c:v>0</c:v>
                </c:pt>
                <c:pt idx="9">
                  <c:v>-11750</c:v>
                </c:pt>
                <c:pt idx="10">
                  <c:v>-5875</c:v>
                </c:pt>
                <c:pt idx="11">
                  <c:v>0</c:v>
                </c:pt>
                <c:pt idx="13">
                  <c:v>0</c:v>
                </c:pt>
              </c:numCache>
            </c:numRef>
          </c:val>
          <c:extLst>
            <c:ext xmlns:c16="http://schemas.microsoft.com/office/drawing/2014/chart" uri="{C3380CC4-5D6E-409C-BE32-E72D297353CC}">
              <c16:uniqueId val="{00000001-B14C-40CE-B86C-23825B592F53}"/>
            </c:ext>
          </c:extLst>
        </c:ser>
        <c:dLbls>
          <c:showLegendKey val="0"/>
          <c:showVal val="0"/>
          <c:showCatName val="0"/>
          <c:showSerName val="0"/>
          <c:showPercent val="0"/>
          <c:showBubbleSize val="0"/>
        </c:dLbls>
        <c:gapWidth val="219"/>
        <c:overlap val="100"/>
        <c:axId val="396321615"/>
        <c:axId val="666803903"/>
      </c:barChart>
      <c:lineChart>
        <c:grouping val="standard"/>
        <c:varyColors val="0"/>
        <c:ser>
          <c:idx val="2"/>
          <c:order val="2"/>
          <c:tx>
            <c:strRef>
              <c:f>'OUTPUT 1 - TENURE'!$N$89</c:f>
              <c:strCache>
                <c:ptCount val="1"/>
                <c:pt idx="0">
                  <c:v>Mean Income</c:v>
                </c:pt>
              </c:strCache>
            </c:strRef>
          </c:tx>
          <c:spPr>
            <a:ln w="28575" cap="rnd">
              <a:solidFill>
                <a:srgbClr val="84BD00"/>
              </a:solidFill>
              <a:round/>
            </a:ln>
            <a:effectLst/>
          </c:spPr>
          <c:marker>
            <c:symbol val="none"/>
          </c:marker>
          <c:cat>
            <c:strRef>
              <c:f>'OUTPUT 1 - TENURE'!$K$90:$K$102</c:f>
              <c:strCache>
                <c:ptCount val="13"/>
                <c:pt idx="0">
                  <c:v>LA New Build Mean House Price</c:v>
                </c:pt>
                <c:pt idx="1">
                  <c:v>Median House Price</c:v>
                </c:pt>
                <c:pt idx="2">
                  <c:v>Discounted Market Sale (-20%)</c:v>
                </c:pt>
                <c:pt idx="3">
                  <c:v>LQ/Entry-level House Price</c:v>
                </c:pt>
                <c:pt idx="4">
                  <c:v>Discounted Market Sale (-30%)</c:v>
                </c:pt>
                <c:pt idx="5">
                  <c:v>Shared ownership (50%)</c:v>
                </c:pt>
                <c:pt idx="6">
                  <c:v>Average Market Rent</c:v>
                </c:pt>
                <c:pt idx="7">
                  <c:v>Discounted Market Sale (-40%)</c:v>
                </c:pt>
                <c:pt idx="8">
                  <c:v>Entry-level Market Rent</c:v>
                </c:pt>
                <c:pt idx="9">
                  <c:v>Discounted Market Sale (-50%)</c:v>
                </c:pt>
                <c:pt idx="10">
                  <c:v>Shared ownership (25%)</c:v>
                </c:pt>
                <c:pt idx="11">
                  <c:v>Affordable Rent (80% Market Rent)</c:v>
                </c:pt>
                <c:pt idx="12">
                  <c:v>Social Rent - 2 Bed Dwelling</c:v>
                </c:pt>
              </c:strCache>
            </c:strRef>
          </c:cat>
          <c:val>
            <c:numRef>
              <c:f>'OUTPUT 1 - TENURE'!$N$90:$N$102</c:f>
              <c:numCache>
                <c:formatCode>"£"#,##0</c:formatCode>
                <c:ptCount val="13"/>
                <c:pt idx="0">
                  <c:v>39928.571428571398</c:v>
                </c:pt>
                <c:pt idx="1">
                  <c:v>39928.571428571398</c:v>
                </c:pt>
                <c:pt idx="2">
                  <c:v>39928.571428571398</c:v>
                </c:pt>
                <c:pt idx="3">
                  <c:v>39928.571428571398</c:v>
                </c:pt>
                <c:pt idx="4">
                  <c:v>39928.571428571398</c:v>
                </c:pt>
                <c:pt idx="5">
                  <c:v>39928.571428571398</c:v>
                </c:pt>
                <c:pt idx="6">
                  <c:v>39928.571428571398</c:v>
                </c:pt>
                <c:pt idx="7">
                  <c:v>39928.571428571398</c:v>
                </c:pt>
                <c:pt idx="8">
                  <c:v>39928.571428571398</c:v>
                </c:pt>
                <c:pt idx="9">
                  <c:v>39928.571428571398</c:v>
                </c:pt>
                <c:pt idx="10">
                  <c:v>39928.571428571398</c:v>
                </c:pt>
                <c:pt idx="11">
                  <c:v>39928.571428571398</c:v>
                </c:pt>
                <c:pt idx="12">
                  <c:v>39928.571428571398</c:v>
                </c:pt>
              </c:numCache>
            </c:numRef>
          </c:val>
          <c:smooth val="0"/>
          <c:extLst>
            <c:ext xmlns:c16="http://schemas.microsoft.com/office/drawing/2014/chart" uri="{C3380CC4-5D6E-409C-BE32-E72D297353CC}">
              <c16:uniqueId val="{00000002-B14C-40CE-B86C-23825B592F53}"/>
            </c:ext>
          </c:extLst>
        </c:ser>
        <c:ser>
          <c:idx val="3"/>
          <c:order val="3"/>
          <c:tx>
            <c:strRef>
              <c:f>'OUTPUT 1 - TENURE'!$O$89</c:f>
              <c:strCache>
                <c:ptCount val="1"/>
                <c:pt idx="0">
                  <c:v>LQ Income 1</c:v>
                </c:pt>
              </c:strCache>
            </c:strRef>
          </c:tx>
          <c:spPr>
            <a:ln w="28575" cap="rnd">
              <a:solidFill>
                <a:srgbClr val="C973B3"/>
              </a:solidFill>
              <a:round/>
            </a:ln>
            <a:effectLst/>
          </c:spPr>
          <c:marker>
            <c:symbol val="none"/>
          </c:marker>
          <c:cat>
            <c:strRef>
              <c:f>'OUTPUT 1 - TENURE'!$K$90:$K$102</c:f>
              <c:strCache>
                <c:ptCount val="13"/>
                <c:pt idx="0">
                  <c:v>LA New Build Mean House Price</c:v>
                </c:pt>
                <c:pt idx="1">
                  <c:v>Median House Price</c:v>
                </c:pt>
                <c:pt idx="2">
                  <c:v>Discounted Market Sale (-20%)</c:v>
                </c:pt>
                <c:pt idx="3">
                  <c:v>LQ/Entry-level House Price</c:v>
                </c:pt>
                <c:pt idx="4">
                  <c:v>Discounted Market Sale (-30%)</c:v>
                </c:pt>
                <c:pt idx="5">
                  <c:v>Shared ownership (50%)</c:v>
                </c:pt>
                <c:pt idx="6">
                  <c:v>Average Market Rent</c:v>
                </c:pt>
                <c:pt idx="7">
                  <c:v>Discounted Market Sale (-40%)</c:v>
                </c:pt>
                <c:pt idx="8">
                  <c:v>Entry-level Market Rent</c:v>
                </c:pt>
                <c:pt idx="9">
                  <c:v>Discounted Market Sale (-50%)</c:v>
                </c:pt>
                <c:pt idx="10">
                  <c:v>Shared ownership (25%)</c:v>
                </c:pt>
                <c:pt idx="11">
                  <c:v>Affordable Rent (80% Market Rent)</c:v>
                </c:pt>
                <c:pt idx="12">
                  <c:v>Social Rent - 2 Bed Dwelling</c:v>
                </c:pt>
              </c:strCache>
            </c:strRef>
          </c:cat>
          <c:val>
            <c:numRef>
              <c:f>'OUTPUT 1 - TENURE'!$O$90:$O$102</c:f>
              <c:numCache>
                <c:formatCode>"£"#,##0</c:formatCode>
                <c:ptCount val="13"/>
                <c:pt idx="0">
                  <c:v>14745</c:v>
                </c:pt>
                <c:pt idx="1">
                  <c:v>14745</c:v>
                </c:pt>
                <c:pt idx="2">
                  <c:v>14745</c:v>
                </c:pt>
                <c:pt idx="3">
                  <c:v>14745</c:v>
                </c:pt>
                <c:pt idx="4">
                  <c:v>14745</c:v>
                </c:pt>
                <c:pt idx="5">
                  <c:v>14745</c:v>
                </c:pt>
                <c:pt idx="6">
                  <c:v>14745</c:v>
                </c:pt>
                <c:pt idx="7">
                  <c:v>14745</c:v>
                </c:pt>
                <c:pt idx="8">
                  <c:v>14745</c:v>
                </c:pt>
                <c:pt idx="9">
                  <c:v>14745</c:v>
                </c:pt>
                <c:pt idx="10">
                  <c:v>14745</c:v>
                </c:pt>
                <c:pt idx="11">
                  <c:v>14745</c:v>
                </c:pt>
                <c:pt idx="12">
                  <c:v>14745</c:v>
                </c:pt>
              </c:numCache>
            </c:numRef>
          </c:val>
          <c:smooth val="0"/>
          <c:extLst>
            <c:ext xmlns:c16="http://schemas.microsoft.com/office/drawing/2014/chart" uri="{C3380CC4-5D6E-409C-BE32-E72D297353CC}">
              <c16:uniqueId val="{00000003-B14C-40CE-B86C-23825B592F53}"/>
            </c:ext>
          </c:extLst>
        </c:ser>
        <c:ser>
          <c:idx val="4"/>
          <c:order val="4"/>
          <c:tx>
            <c:strRef>
              <c:f>'OUTPUT 1 - TENURE'!$P$89</c:f>
              <c:strCache>
                <c:ptCount val="1"/>
                <c:pt idx="0">
                  <c:v>LQ Income 2</c:v>
                </c:pt>
              </c:strCache>
            </c:strRef>
          </c:tx>
          <c:spPr>
            <a:ln w="28575" cap="rnd">
              <a:solidFill>
                <a:srgbClr val="9E0880"/>
              </a:solidFill>
              <a:round/>
            </a:ln>
            <a:effectLst/>
          </c:spPr>
          <c:marker>
            <c:symbol val="none"/>
          </c:marker>
          <c:cat>
            <c:strRef>
              <c:f>'OUTPUT 1 - TENURE'!$K$90:$K$102</c:f>
              <c:strCache>
                <c:ptCount val="13"/>
                <c:pt idx="0">
                  <c:v>LA New Build Mean House Price</c:v>
                </c:pt>
                <c:pt idx="1">
                  <c:v>Median House Price</c:v>
                </c:pt>
                <c:pt idx="2">
                  <c:v>Discounted Market Sale (-20%)</c:v>
                </c:pt>
                <c:pt idx="3">
                  <c:v>LQ/Entry-level House Price</c:v>
                </c:pt>
                <c:pt idx="4">
                  <c:v>Discounted Market Sale (-30%)</c:v>
                </c:pt>
                <c:pt idx="5">
                  <c:v>Shared ownership (50%)</c:v>
                </c:pt>
                <c:pt idx="6">
                  <c:v>Average Market Rent</c:v>
                </c:pt>
                <c:pt idx="7">
                  <c:v>Discounted Market Sale (-40%)</c:v>
                </c:pt>
                <c:pt idx="8">
                  <c:v>Entry-level Market Rent</c:v>
                </c:pt>
                <c:pt idx="9">
                  <c:v>Discounted Market Sale (-50%)</c:v>
                </c:pt>
                <c:pt idx="10">
                  <c:v>Shared ownership (25%)</c:v>
                </c:pt>
                <c:pt idx="11">
                  <c:v>Affordable Rent (80% Market Rent)</c:v>
                </c:pt>
                <c:pt idx="12">
                  <c:v>Social Rent - 2 Bed Dwelling</c:v>
                </c:pt>
              </c:strCache>
            </c:strRef>
          </c:cat>
          <c:val>
            <c:numRef>
              <c:f>'OUTPUT 1 - TENURE'!$P$90:$P$102</c:f>
              <c:numCache>
                <c:formatCode>"£"#,##0</c:formatCode>
                <c:ptCount val="13"/>
                <c:pt idx="0">
                  <c:v>29490</c:v>
                </c:pt>
                <c:pt idx="1">
                  <c:v>29490</c:v>
                </c:pt>
                <c:pt idx="2">
                  <c:v>29490</c:v>
                </c:pt>
                <c:pt idx="3">
                  <c:v>29490</c:v>
                </c:pt>
                <c:pt idx="4">
                  <c:v>29490</c:v>
                </c:pt>
                <c:pt idx="5">
                  <c:v>29490</c:v>
                </c:pt>
                <c:pt idx="6">
                  <c:v>29490</c:v>
                </c:pt>
                <c:pt idx="7">
                  <c:v>29490</c:v>
                </c:pt>
                <c:pt idx="8">
                  <c:v>29490</c:v>
                </c:pt>
                <c:pt idx="9">
                  <c:v>29490</c:v>
                </c:pt>
                <c:pt idx="10">
                  <c:v>29490</c:v>
                </c:pt>
                <c:pt idx="11">
                  <c:v>29490</c:v>
                </c:pt>
                <c:pt idx="12">
                  <c:v>29490</c:v>
                </c:pt>
              </c:numCache>
            </c:numRef>
          </c:val>
          <c:smooth val="0"/>
          <c:extLst>
            <c:ext xmlns:c16="http://schemas.microsoft.com/office/drawing/2014/chart" uri="{C3380CC4-5D6E-409C-BE32-E72D297353CC}">
              <c16:uniqueId val="{00000004-B14C-40CE-B86C-23825B592F53}"/>
            </c:ext>
          </c:extLst>
        </c:ser>
        <c:dLbls>
          <c:showLegendKey val="0"/>
          <c:showVal val="0"/>
          <c:showCatName val="0"/>
          <c:showSerName val="0"/>
          <c:showPercent val="0"/>
          <c:showBubbleSize val="0"/>
        </c:dLbls>
        <c:marker val="1"/>
        <c:smooth val="0"/>
        <c:axId val="396321615"/>
        <c:axId val="666803903"/>
      </c:lineChart>
      <c:catAx>
        <c:axId val="39632161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6803903"/>
        <c:crosses val="autoZero"/>
        <c:auto val="1"/>
        <c:lblAlgn val="ctr"/>
        <c:lblOffset val="100"/>
        <c:noMultiLvlLbl val="0"/>
      </c:catAx>
      <c:valAx>
        <c:axId val="666803903"/>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6321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61597034098549"/>
          <c:y val="7.6923076923076927E-2"/>
          <c:w val="0.82619045400390045"/>
          <c:h val="0.65693408953251475"/>
        </c:manualLayout>
      </c:layout>
      <c:barChart>
        <c:barDir val="col"/>
        <c:grouping val="clustered"/>
        <c:varyColors val="0"/>
        <c:ser>
          <c:idx val="0"/>
          <c:order val="0"/>
          <c:tx>
            <c:strRef>
              <c:f>'INPUT 2 - Census Tool Results'!$Q$25</c:f>
              <c:strCache>
                <c:ptCount val="1"/>
                <c:pt idx="0">
                  <c:v>Weymouth</c:v>
                </c:pt>
              </c:strCache>
            </c:strRef>
          </c:tx>
          <c:spPr>
            <a:solidFill>
              <a:schemeClr val="accent1"/>
            </a:solidFill>
            <a:ln>
              <a:noFill/>
            </a:ln>
            <a:effectLst/>
          </c:spPr>
          <c:invertIfNegative val="0"/>
          <c:cat>
            <c:strRef>
              <c:f>'INPUT 2 - Census Tool Results'!$P$26:$P$31</c:f>
              <c:strCache>
                <c:ptCount val="6"/>
                <c:pt idx="0">
                  <c:v>0-15</c:v>
                </c:pt>
                <c:pt idx="1">
                  <c:v>16-24</c:v>
                </c:pt>
                <c:pt idx="2">
                  <c:v>25-44</c:v>
                </c:pt>
                <c:pt idx="3">
                  <c:v>45-64</c:v>
                </c:pt>
                <c:pt idx="4">
                  <c:v>65-84</c:v>
                </c:pt>
                <c:pt idx="5">
                  <c:v>85 and over</c:v>
                </c:pt>
              </c:strCache>
            </c:strRef>
          </c:cat>
          <c:val>
            <c:numRef>
              <c:f>'INPUT 2 - Census Tool Results'!$Q$26:$Q$31</c:f>
              <c:numCache>
                <c:formatCode>0%</c:formatCode>
                <c:ptCount val="6"/>
                <c:pt idx="0">
                  <c:v>0.16449744854079468</c:v>
                </c:pt>
                <c:pt idx="1">
                  <c:v>0.1026126177780326</c:v>
                </c:pt>
                <c:pt idx="2">
                  <c:v>0.22752900254190317</c:v>
                </c:pt>
                <c:pt idx="3">
                  <c:v>0.28538118991648032</c:v>
                </c:pt>
                <c:pt idx="4">
                  <c:v>0.18838751600634521</c:v>
                </c:pt>
                <c:pt idx="5">
                  <c:v>3.159222521644401E-2</c:v>
                </c:pt>
              </c:numCache>
            </c:numRef>
          </c:val>
          <c:extLst>
            <c:ext xmlns:c16="http://schemas.microsoft.com/office/drawing/2014/chart" uri="{C3380CC4-5D6E-409C-BE32-E72D297353CC}">
              <c16:uniqueId val="{00000000-85E5-41BC-927B-66EE68BE034F}"/>
            </c:ext>
          </c:extLst>
        </c:ser>
        <c:ser>
          <c:idx val="1"/>
          <c:order val="1"/>
          <c:tx>
            <c:strRef>
              <c:f>'INPUT 2 - Census Tool Results'!$R$25</c:f>
              <c:strCache>
                <c:ptCount val="1"/>
                <c:pt idx="0">
                  <c:v>Dorset</c:v>
                </c:pt>
              </c:strCache>
            </c:strRef>
          </c:tx>
          <c:spPr>
            <a:solidFill>
              <a:schemeClr val="accent2"/>
            </a:solidFill>
            <a:ln>
              <a:noFill/>
            </a:ln>
            <a:effectLst/>
          </c:spPr>
          <c:invertIfNegative val="0"/>
          <c:cat>
            <c:strRef>
              <c:f>'INPUT 2 - Census Tool Results'!$P$26:$P$31</c:f>
              <c:strCache>
                <c:ptCount val="6"/>
                <c:pt idx="0">
                  <c:v>0-15</c:v>
                </c:pt>
                <c:pt idx="1">
                  <c:v>16-24</c:v>
                </c:pt>
                <c:pt idx="2">
                  <c:v>25-44</c:v>
                </c:pt>
                <c:pt idx="3">
                  <c:v>45-64</c:v>
                </c:pt>
                <c:pt idx="4">
                  <c:v>65-84</c:v>
                </c:pt>
                <c:pt idx="5">
                  <c:v>85 and over</c:v>
                </c:pt>
              </c:strCache>
            </c:strRef>
          </c:cat>
          <c:val>
            <c:numRef>
              <c:f>'INPUT 2 - Census Tool Results'!$R$26:$R$31</c:f>
              <c:numCache>
                <c:formatCode>0%</c:formatCode>
                <c:ptCount val="6"/>
                <c:pt idx="0">
                  <c:v>0.16301328392729564</c:v>
                </c:pt>
                <c:pt idx="1">
                  <c:v>9.3149755997142203E-2</c:v>
                </c:pt>
                <c:pt idx="2">
                  <c:v>0.20347295382715153</c:v>
                </c:pt>
                <c:pt idx="3">
                  <c:v>0.28813891815308607</c:v>
                </c:pt>
                <c:pt idx="4">
                  <c:v>0.2133226771291217</c:v>
                </c:pt>
                <c:pt idx="5">
                  <c:v>3.890241096620288E-2</c:v>
                </c:pt>
              </c:numCache>
            </c:numRef>
          </c:val>
          <c:extLst>
            <c:ext xmlns:c16="http://schemas.microsoft.com/office/drawing/2014/chart" uri="{C3380CC4-5D6E-409C-BE32-E72D297353CC}">
              <c16:uniqueId val="{00000001-85E5-41BC-927B-66EE68BE034F}"/>
            </c:ext>
          </c:extLst>
        </c:ser>
        <c:ser>
          <c:idx val="2"/>
          <c:order val="2"/>
          <c:tx>
            <c:strRef>
              <c:f>'INPUT 2 - Census Tool Results'!$S$25</c:f>
              <c:strCache>
                <c:ptCount val="1"/>
                <c:pt idx="0">
                  <c:v>England</c:v>
                </c:pt>
              </c:strCache>
            </c:strRef>
          </c:tx>
          <c:spPr>
            <a:solidFill>
              <a:schemeClr val="accent3"/>
            </a:solidFill>
            <a:ln>
              <a:noFill/>
            </a:ln>
            <a:effectLst/>
          </c:spPr>
          <c:invertIfNegative val="0"/>
          <c:cat>
            <c:strRef>
              <c:f>'INPUT 2 - Census Tool Results'!$P$26:$P$31</c:f>
              <c:strCache>
                <c:ptCount val="6"/>
                <c:pt idx="0">
                  <c:v>0-15</c:v>
                </c:pt>
                <c:pt idx="1">
                  <c:v>16-24</c:v>
                </c:pt>
                <c:pt idx="2">
                  <c:v>25-44</c:v>
                </c:pt>
                <c:pt idx="3">
                  <c:v>45-64</c:v>
                </c:pt>
                <c:pt idx="4">
                  <c:v>65-84</c:v>
                </c:pt>
                <c:pt idx="5">
                  <c:v>85 and over</c:v>
                </c:pt>
              </c:strCache>
            </c:strRef>
          </c:cat>
          <c:val>
            <c:numRef>
              <c:f>'INPUT 2 - Census Tool Results'!$S$26:$S$31</c:f>
              <c:numCache>
                <c:formatCode>0%</c:formatCode>
                <c:ptCount val="6"/>
                <c:pt idx="0">
                  <c:v>0.18906567920565684</c:v>
                </c:pt>
                <c:pt idx="1">
                  <c:v>0.11855251528055973</c:v>
                </c:pt>
                <c:pt idx="2">
                  <c:v>0.27531552207277477</c:v>
                </c:pt>
                <c:pt idx="3">
                  <c:v>0.25369847041231214</c:v>
                </c:pt>
                <c:pt idx="4">
                  <c:v>0.14110647882452382</c:v>
                </c:pt>
                <c:pt idx="5">
                  <c:v>2.2261334204172693E-2</c:v>
                </c:pt>
              </c:numCache>
            </c:numRef>
          </c:val>
          <c:extLst>
            <c:ext xmlns:c16="http://schemas.microsoft.com/office/drawing/2014/chart" uri="{C3380CC4-5D6E-409C-BE32-E72D297353CC}">
              <c16:uniqueId val="{00000002-85E5-41BC-927B-66EE68BE034F}"/>
            </c:ext>
          </c:extLst>
        </c:ser>
        <c:dLbls>
          <c:showLegendKey val="0"/>
          <c:showVal val="0"/>
          <c:showCatName val="0"/>
          <c:showSerName val="0"/>
          <c:showPercent val="0"/>
          <c:showBubbleSize val="0"/>
        </c:dLbls>
        <c:gapWidth val="219"/>
        <c:overlap val="-27"/>
        <c:axId val="311124744"/>
        <c:axId val="311117856"/>
      </c:barChart>
      <c:catAx>
        <c:axId val="311124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117856"/>
        <c:crosses val="autoZero"/>
        <c:auto val="1"/>
        <c:lblAlgn val="ctr"/>
        <c:lblOffset val="100"/>
        <c:noMultiLvlLbl val="0"/>
      </c:catAx>
      <c:valAx>
        <c:axId val="31111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Population</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124744"/>
        <c:crosses val="autoZero"/>
        <c:crossBetween val="between"/>
      </c:valAx>
      <c:spPr>
        <a:noFill/>
        <a:ln>
          <a:noFill/>
        </a:ln>
        <a:effectLst/>
      </c:spPr>
    </c:plotArea>
    <c:legend>
      <c:legendPos val="b"/>
      <c:layout>
        <c:manualLayout>
          <c:xMode val="edge"/>
          <c:yMode val="edge"/>
          <c:x val="0.24723930218781828"/>
          <c:y val="0.85402015307527124"/>
          <c:w val="0.47861928501540857"/>
          <c:h val="0.1155298875578295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'OUTPUT 3 - Type &amp; Size'!$B$233</c:f>
              <c:strCache>
                <c:ptCount val="1"/>
                <c:pt idx="0">
                  <c:v>1 bedroom</c:v>
                </c:pt>
              </c:strCache>
            </c:strRef>
          </c:tx>
          <c:spPr>
            <a:solidFill>
              <a:srgbClr val="00B5E5"/>
            </a:solidFill>
            <a:ln>
              <a:solidFill>
                <a:schemeClr val="bg1"/>
              </a:solidFill>
            </a:ln>
            <a:effectLst/>
          </c:spPr>
          <c:invertIfNegative val="0"/>
          <c:cat>
            <c:strRef>
              <c:f>'OUTPUT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'OUTPUT 3 - Type &amp; Size'!$C$233:$P$233</c:f>
              <c:numCache>
                <c:formatCode>#,##0</c:formatCode>
                <c:ptCount val="14"/>
                <c:pt idx="0">
                  <c:v>235</c:v>
                </c:pt>
                <c:pt idx="1">
                  <c:v>252</c:v>
                </c:pt>
                <c:pt idx="2">
                  <c:v>247</c:v>
                </c:pt>
                <c:pt idx="3">
                  <c:v>218</c:v>
                </c:pt>
                <c:pt idx="4">
                  <c:v>242</c:v>
                </c:pt>
                <c:pt idx="5">
                  <c:v>286</c:v>
                </c:pt>
                <c:pt idx="6">
                  <c:v>274</c:v>
                </c:pt>
                <c:pt idx="7">
                  <c:v>267</c:v>
                </c:pt>
                <c:pt idx="8">
                  <c:v>342</c:v>
                </c:pt>
                <c:pt idx="9">
                  <c:v>284</c:v>
                </c:pt>
                <c:pt idx="10">
                  <c:v>246</c:v>
                </c:pt>
                <c:pt idx="11">
                  <c:v>183</c:v>
                </c:pt>
                <c:pt idx="12">
                  <c:v>181</c:v>
                </c:pt>
                <c:pt idx="13">
                  <c:v>250</c:v>
                </c:pt>
              </c:numCache>
            </c:numRef>
          </c:val>
          <c:extLst>
            <c:ext xmlns:c16="http://schemas.microsoft.com/office/drawing/2014/chart" uri="{C3380CC4-5D6E-409C-BE32-E72D297353CC}">
              <c16:uniqueId val="{00000000-C73C-435D-BA8D-F4A500AE1785}"/>
            </c:ext>
          </c:extLst>
        </c:ser>
        <c:ser>
          <c:idx val="1"/>
          <c:order val="1"/>
          <c:tx>
            <c:strRef>
              <c:f>'OUTPUT 3 - Type &amp; Size'!$B$234</c:f>
              <c:strCache>
                <c:ptCount val="1"/>
                <c:pt idx="0">
                  <c:v>2 bedrooms</c:v>
                </c:pt>
              </c:strCache>
            </c:strRef>
          </c:tx>
          <c:spPr>
            <a:solidFill>
              <a:srgbClr val="7FBB42"/>
            </a:solidFill>
            <a:ln>
              <a:solidFill>
                <a:schemeClr val="bg1"/>
              </a:solidFill>
            </a:ln>
            <a:effectLst/>
          </c:spPr>
          <c:invertIfNegative val="0"/>
          <c:cat>
            <c:strRef>
              <c:f>'OUTPUT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'OUTPUT 3 - Type &amp; Size'!$C$234:$P$234</c:f>
              <c:numCache>
                <c:formatCode>#,##0</c:formatCode>
                <c:ptCount val="14"/>
                <c:pt idx="0">
                  <c:v>462</c:v>
                </c:pt>
                <c:pt idx="1">
                  <c:v>661</c:v>
                </c:pt>
                <c:pt idx="2">
                  <c:v>634</c:v>
                </c:pt>
                <c:pt idx="3">
                  <c:v>564</c:v>
                </c:pt>
                <c:pt idx="4">
                  <c:v>627</c:v>
                </c:pt>
                <c:pt idx="5">
                  <c:v>632</c:v>
                </c:pt>
                <c:pt idx="6">
                  <c:v>645</c:v>
                </c:pt>
                <c:pt idx="7">
                  <c:v>681</c:v>
                </c:pt>
                <c:pt idx="8">
                  <c:v>740</c:v>
                </c:pt>
                <c:pt idx="9">
                  <c:v>665</c:v>
                </c:pt>
                <c:pt idx="10">
                  <c:v>593</c:v>
                </c:pt>
                <c:pt idx="11">
                  <c:v>550</c:v>
                </c:pt>
                <c:pt idx="12">
                  <c:v>543</c:v>
                </c:pt>
                <c:pt idx="13">
                  <c:v>554</c:v>
                </c:pt>
              </c:numCache>
            </c:numRef>
          </c:val>
          <c:extLst>
            <c:ext xmlns:c16="http://schemas.microsoft.com/office/drawing/2014/chart" uri="{C3380CC4-5D6E-409C-BE32-E72D297353CC}">
              <c16:uniqueId val="{00000001-C73C-435D-BA8D-F4A500AE1785}"/>
            </c:ext>
          </c:extLst>
        </c:ser>
        <c:ser>
          <c:idx val="2"/>
          <c:order val="2"/>
          <c:tx>
            <c:strRef>
              <c:f>'OUTPUT 3 - Type &amp; Size'!$B$235</c:f>
              <c:strCache>
                <c:ptCount val="1"/>
                <c:pt idx="0">
                  <c:v>3 bedrooms</c:v>
                </c:pt>
              </c:strCache>
            </c:strRef>
          </c:tx>
          <c:spPr>
            <a:solidFill>
              <a:srgbClr val="F68B1F"/>
            </a:solidFill>
            <a:ln>
              <a:solidFill>
                <a:schemeClr val="bg1"/>
              </a:solidFill>
            </a:ln>
            <a:effectLst/>
          </c:spPr>
          <c:invertIfNegative val="0"/>
          <c:cat>
            <c:strRef>
              <c:f>'OUTPUT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'OUTPUT 3 - Type &amp; Size'!$C$235:$P$235</c:f>
              <c:numCache>
                <c:formatCode>#,##0</c:formatCode>
                <c:ptCount val="14"/>
                <c:pt idx="0">
                  <c:v>152</c:v>
                </c:pt>
                <c:pt idx="1">
                  <c:v>376</c:v>
                </c:pt>
                <c:pt idx="2">
                  <c:v>615</c:v>
                </c:pt>
                <c:pt idx="3">
                  <c:v>859</c:v>
                </c:pt>
                <c:pt idx="4">
                  <c:v>1148</c:v>
                </c:pt>
                <c:pt idx="5">
                  <c:v>1347</c:v>
                </c:pt>
                <c:pt idx="6">
                  <c:v>1222</c:v>
                </c:pt>
                <c:pt idx="7">
                  <c:v>1124</c:v>
                </c:pt>
                <c:pt idx="8">
                  <c:v>1226</c:v>
                </c:pt>
                <c:pt idx="9">
                  <c:v>984</c:v>
                </c:pt>
                <c:pt idx="10">
                  <c:v>810</c:v>
                </c:pt>
                <c:pt idx="11">
                  <c:v>740</c:v>
                </c:pt>
                <c:pt idx="12">
                  <c:v>602</c:v>
                </c:pt>
                <c:pt idx="13">
                  <c:v>489</c:v>
                </c:pt>
              </c:numCache>
            </c:numRef>
          </c:val>
          <c:extLst>
            <c:ext xmlns:c16="http://schemas.microsoft.com/office/drawing/2014/chart" uri="{C3380CC4-5D6E-409C-BE32-E72D297353CC}">
              <c16:uniqueId val="{00000002-C73C-435D-BA8D-F4A500AE1785}"/>
            </c:ext>
          </c:extLst>
        </c:ser>
        <c:ser>
          <c:idx val="3"/>
          <c:order val="3"/>
          <c:tx>
            <c:strRef>
              <c:f>'OUTPUT 3 - Type &amp; Size'!$B$236</c:f>
              <c:strCache>
                <c:ptCount val="1"/>
                <c:pt idx="0">
                  <c:v>4 bedrooms</c:v>
                </c:pt>
              </c:strCache>
            </c:strRef>
          </c:tx>
          <c:spPr>
            <a:solidFill>
              <a:srgbClr val="9E0880"/>
            </a:solidFill>
            <a:ln>
              <a:solidFill>
                <a:schemeClr val="bg1"/>
              </a:solidFill>
            </a:ln>
            <a:effectLst/>
          </c:spPr>
          <c:invertIfNegative val="0"/>
          <c:cat>
            <c:strRef>
              <c:f>'OUTPUT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'OUTPUT 3 - Type &amp; Size'!$C$236:$P$236</c:f>
              <c:numCache>
                <c:formatCode>#,##0</c:formatCode>
                <c:ptCount val="14"/>
                <c:pt idx="0">
                  <c:v>22</c:v>
                </c:pt>
                <c:pt idx="1">
                  <c:v>52</c:v>
                </c:pt>
                <c:pt idx="2">
                  <c:v>119</c:v>
                </c:pt>
                <c:pt idx="3">
                  <c:v>275</c:v>
                </c:pt>
                <c:pt idx="4">
                  <c:v>421</c:v>
                </c:pt>
                <c:pt idx="5">
                  <c:v>499</c:v>
                </c:pt>
                <c:pt idx="6">
                  <c:v>518</c:v>
                </c:pt>
                <c:pt idx="7">
                  <c:v>431</c:v>
                </c:pt>
                <c:pt idx="8">
                  <c:v>417</c:v>
                </c:pt>
                <c:pt idx="9">
                  <c:v>329</c:v>
                </c:pt>
                <c:pt idx="10">
                  <c:v>263</c:v>
                </c:pt>
                <c:pt idx="11">
                  <c:v>194</c:v>
                </c:pt>
                <c:pt idx="12">
                  <c:v>134</c:v>
                </c:pt>
                <c:pt idx="13">
                  <c:v>106</c:v>
                </c:pt>
              </c:numCache>
            </c:numRef>
          </c:val>
          <c:extLst>
            <c:ext xmlns:c16="http://schemas.microsoft.com/office/drawing/2014/chart" uri="{C3380CC4-5D6E-409C-BE32-E72D297353CC}">
              <c16:uniqueId val="{00000003-C73C-435D-BA8D-F4A500AE1785}"/>
            </c:ext>
          </c:extLst>
        </c:ser>
        <c:ser>
          <c:idx val="4"/>
          <c:order val="4"/>
          <c:tx>
            <c:strRef>
              <c:f>'OUTPUT 3 - Type &amp; Size'!$B$237</c:f>
              <c:strCache>
                <c:ptCount val="1"/>
                <c:pt idx="0">
                  <c:v>5 bedrooms</c:v>
                </c:pt>
              </c:strCache>
            </c:strRef>
          </c:tx>
          <c:spPr>
            <a:solidFill>
              <a:srgbClr val="FFDA09"/>
            </a:solidFill>
            <a:ln>
              <a:solidFill>
                <a:schemeClr val="bg1"/>
              </a:solidFill>
            </a:ln>
            <a:effectLst/>
          </c:spPr>
          <c:invertIfNegative val="0"/>
          <c:cat>
            <c:strRef>
              <c:f>'OUTPUT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'OUTPUT 3 - Type &amp; Size'!$C$237:$P$237</c:f>
              <c:numCache>
                <c:formatCode>#,##0</c:formatCode>
                <c:ptCount val="14"/>
                <c:pt idx="0">
                  <c:v>9</c:v>
                </c:pt>
                <c:pt idx="1">
                  <c:v>13</c:v>
                </c:pt>
                <c:pt idx="2">
                  <c:v>23</c:v>
                </c:pt>
                <c:pt idx="3">
                  <c:v>51</c:v>
                </c:pt>
                <c:pt idx="4">
                  <c:v>95</c:v>
                </c:pt>
                <c:pt idx="5">
                  <c:v>123</c:v>
                </c:pt>
                <c:pt idx="6">
                  <c:v>103</c:v>
                </c:pt>
                <c:pt idx="7">
                  <c:v>95</c:v>
                </c:pt>
                <c:pt idx="8">
                  <c:v>77</c:v>
                </c:pt>
                <c:pt idx="9">
                  <c:v>67</c:v>
                </c:pt>
                <c:pt idx="10">
                  <c:v>38</c:v>
                </c:pt>
                <c:pt idx="11">
                  <c:v>34</c:v>
                </c:pt>
                <c:pt idx="12">
                  <c:v>16</c:v>
                </c:pt>
                <c:pt idx="13">
                  <c:v>20</c:v>
                </c:pt>
              </c:numCache>
            </c:numRef>
          </c:val>
          <c:extLst>
            <c:ext xmlns:c16="http://schemas.microsoft.com/office/drawing/2014/chart" uri="{C3380CC4-5D6E-409C-BE32-E72D297353CC}">
              <c16:uniqueId val="{00000004-C73C-435D-BA8D-F4A500AE1785}"/>
            </c:ext>
          </c:extLst>
        </c:ser>
        <c:ser>
          <c:idx val="5"/>
          <c:order val="5"/>
          <c:tx>
            <c:strRef>
              <c:f>'OUTPUT 3 - Type &amp; Size'!$B$238</c:f>
              <c:strCache>
                <c:ptCount val="1"/>
                <c:pt idx="0">
                  <c:v>6 or more bedrooms</c:v>
                </c:pt>
              </c:strCache>
            </c:strRef>
          </c:tx>
          <c:spPr>
            <a:solidFill>
              <a:schemeClr val="bg1">
                <a:lumMod val="65000"/>
              </a:schemeClr>
            </a:solidFill>
            <a:ln>
              <a:solidFill>
                <a:schemeClr val="bg1"/>
              </a:solidFill>
            </a:ln>
            <a:effectLst/>
          </c:spPr>
          <c:invertIfNegative val="0"/>
          <c:cat>
            <c:strRef>
              <c:f>'OUTPUT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'OUTPUT 3 - Type &amp; Size'!$C$238:$P$238</c:f>
              <c:numCache>
                <c:formatCode>#,##0</c:formatCode>
                <c:ptCount val="14"/>
                <c:pt idx="0">
                  <c:v>9</c:v>
                </c:pt>
                <c:pt idx="1">
                  <c:v>6</c:v>
                </c:pt>
                <c:pt idx="2">
                  <c:v>10</c:v>
                </c:pt>
                <c:pt idx="3">
                  <c:v>13</c:v>
                </c:pt>
                <c:pt idx="4">
                  <c:v>29</c:v>
                </c:pt>
                <c:pt idx="5">
                  <c:v>29</c:v>
                </c:pt>
                <c:pt idx="6">
                  <c:v>27</c:v>
                </c:pt>
                <c:pt idx="7">
                  <c:v>30</c:v>
                </c:pt>
                <c:pt idx="8">
                  <c:v>32</c:v>
                </c:pt>
                <c:pt idx="9">
                  <c:v>22</c:v>
                </c:pt>
                <c:pt idx="10">
                  <c:v>10</c:v>
                </c:pt>
                <c:pt idx="11">
                  <c:v>13</c:v>
                </c:pt>
                <c:pt idx="12">
                  <c:v>8</c:v>
                </c:pt>
                <c:pt idx="13">
                  <c:v>1</c:v>
                </c:pt>
              </c:numCache>
            </c:numRef>
          </c:val>
          <c:extLst>
            <c:ext xmlns:c16="http://schemas.microsoft.com/office/drawing/2014/chart" uri="{C3380CC4-5D6E-409C-BE32-E72D297353CC}">
              <c16:uniqueId val="{00000005-C73C-435D-BA8D-F4A500AE1785}"/>
            </c:ext>
          </c:extLst>
        </c:ser>
        <c:dLbls>
          <c:showLegendKey val="0"/>
          <c:showVal val="0"/>
          <c:showCatName val="0"/>
          <c:showSerName val="0"/>
          <c:showPercent val="0"/>
          <c:showBubbleSize val="0"/>
        </c:dLbls>
        <c:gapWidth val="150"/>
        <c:overlap val="100"/>
        <c:axId val="770975312"/>
        <c:axId val="770974000"/>
      </c:barChart>
      <c:catAx>
        <c:axId val="77097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0974000"/>
        <c:crosses val="autoZero"/>
        <c:auto val="1"/>
        <c:lblAlgn val="ctr"/>
        <c:lblOffset val="100"/>
        <c:noMultiLvlLbl val="0"/>
      </c:catAx>
      <c:valAx>
        <c:axId val="770974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097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F3969-140C-4964-8020-DD34EB34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Template>
  <TotalTime>1</TotalTime>
  <Pages>3</Pages>
  <Words>35825</Words>
  <Characters>204207</Characters>
  <Application>Microsoft Office Word</Application>
  <DocSecurity>4</DocSecurity>
  <Lines>1701</Lines>
  <Paragraphs>479</Paragraphs>
  <ScaleCrop>false</ScaleCrop>
  <HeadingPairs>
    <vt:vector size="2" baseType="variant">
      <vt:variant>
        <vt:lpstr>Title</vt:lpstr>
      </vt:variant>
      <vt:variant>
        <vt:i4>1</vt:i4>
      </vt:variant>
    </vt:vector>
  </HeadingPairs>
  <TitlesOfParts>
    <vt:vector size="1" baseType="lpstr">
      <vt:lpstr>Report HNA Template  2017-06-29</vt:lpstr>
    </vt:vector>
  </TitlesOfParts>
  <Company>AECOM Limited</Company>
  <LinksUpToDate>false</LinksUpToDate>
  <CharactersWithSpaces>239553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HNA Template  2017-06-29</dc:title>
  <dc:creator>Corbin, Thomas</dc:creator>
  <cp:keywords>Project ref:   Project number:</cp:keywords>
  <cp:lastModifiedBy>David Northam</cp:lastModifiedBy>
  <cp:revision>2</cp:revision>
  <cp:lastPrinted>2018-03-19T09:05:00Z</cp:lastPrinted>
  <dcterms:created xsi:type="dcterms:W3CDTF">2021-04-08T20:59:00Z</dcterms:created>
  <dcterms:modified xsi:type="dcterms:W3CDTF">2021-04-08T20:59:00Z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1.7</vt:lpwstr>
  </property>
  <property fmtid="{D5CDD505-2E9C-101B-9397-08002B2CF9AE}" pid="4" name="HeaderTitle">
    <vt:lpwstr>HNA Template </vt:lpwstr>
  </property>
  <property fmtid="{D5CDD505-2E9C-101B-9397-08002B2CF9AE}" pid="5" name="ProtectiveMarking">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
  </property>
  <property fmtid="{D5CDD505-2E9C-101B-9397-08002B2CF9AE}" pid="9" name="TenderStage">
    <vt:lpwstr/>
  </property>
  <property fmtid="{D5CDD505-2E9C-101B-9397-08002B2CF9AE}" pid="10" name="ProjectRef">
    <vt:lpwstr> </vt:lpwstr>
  </property>
  <property fmtid="{D5CDD505-2E9C-101B-9397-08002B2CF9AE}" pid="11" name="ProjectNumber">
    <vt:lpwst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
  </property>
  <property fmtid="{D5CDD505-2E9C-101B-9397-08002B2CF9AE}" pid="16" name="DocumentReference">
    <vt:lpwstr/>
  </property>
  <property fmtid="{D5CDD505-2E9C-101B-9397-08002B2CF9AE}" pid="17" name="Date">
    <vt:lpwstr>June 2017</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HNA Template </vt:lpwstr>
  </property>
  <property fmtid="{D5CDD505-2E9C-101B-9397-08002B2CF9AE}" pid="21" name="FooterClientAddress">
    <vt:lpwstr/>
  </property>
  <property fmtid="{D5CDD505-2E9C-101B-9397-08002B2CF9AE}" pid="22" name="ClientNumber">
    <vt:lpwstr> </vt:lpwstr>
  </property>
  <property fmtid="{D5CDD505-2E9C-101B-9397-08002B2CF9AE}" pid="23" name="Draft">
    <vt:lpwstr>DRAFT</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 </vt:lpwstr>
  </property>
  <property fmtid="{D5CDD505-2E9C-101B-9397-08002B2CF9AE}" pid="29" name="InAssociationWith">
    <vt:lpwstr> </vt:lpwstr>
  </property>
  <property fmtid="{D5CDD505-2E9C-101B-9397-08002B2CF9AE}" pid="30" name="ShowFileName">
    <vt:lpwstr>0</vt:lpwstr>
  </property>
</Properties>
</file>